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416DB">
      <w:pPr>
        <w:jc w:val="center"/>
        <w:rPr>
          <w:rFonts w:ascii="华文中宋" w:hAnsi="华文中宋" w:eastAsia="华文中宋" w:cs="宋体"/>
          <w:b/>
          <w:color w:val="000000"/>
          <w:kern w:val="0"/>
          <w:sz w:val="84"/>
          <w:szCs w:val="84"/>
        </w:rPr>
      </w:pPr>
    </w:p>
    <w:p w14:paraId="2B22A353">
      <w:pPr>
        <w:jc w:val="center"/>
        <w:rPr>
          <w:rFonts w:ascii="华文中宋" w:hAnsi="华文中宋" w:eastAsia="华文中宋" w:cs="宋体"/>
          <w:b/>
          <w:color w:val="000000"/>
          <w:kern w:val="0"/>
          <w:sz w:val="84"/>
          <w:szCs w:val="84"/>
        </w:rPr>
      </w:pPr>
    </w:p>
    <w:p w14:paraId="41C9F1FE">
      <w:pPr>
        <w:jc w:val="center"/>
        <w:rPr>
          <w:rFonts w:ascii="华文中宋" w:hAnsi="华文中宋" w:eastAsia="华文中宋" w:cs="宋体"/>
          <w:b/>
          <w:color w:val="000000"/>
          <w:kern w:val="0"/>
          <w:sz w:val="84"/>
          <w:szCs w:val="84"/>
        </w:rPr>
      </w:pPr>
      <w:bookmarkStart w:id="0" w:name="_GoBack"/>
      <w:bookmarkEnd w:id="0"/>
    </w:p>
    <w:p w14:paraId="47A2C422">
      <w:pPr>
        <w:jc w:val="center"/>
        <w:rPr>
          <w:rFonts w:ascii="华文中宋" w:hAnsi="华文中宋" w:eastAsia="华文中宋" w:cs="宋体"/>
          <w:b/>
          <w:color w:val="000000"/>
          <w:kern w:val="0"/>
          <w:sz w:val="84"/>
          <w:szCs w:val="84"/>
          <w:lang w:val="zh-CN"/>
        </w:rPr>
      </w:pPr>
      <w:r>
        <w:rPr>
          <w:rFonts w:hint="eastAsia" w:ascii="华文中宋" w:hAnsi="华文中宋" w:eastAsia="华文中宋" w:cs="宋体"/>
          <w:b/>
          <w:color w:val="000000"/>
          <w:kern w:val="0"/>
          <w:sz w:val="84"/>
          <w:szCs w:val="84"/>
        </w:rPr>
        <w:t>企业社会责任报告</w:t>
      </w:r>
    </w:p>
    <w:p w14:paraId="3381A180"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（202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3</w:t>
      </w:r>
      <w:r>
        <w:rPr>
          <w:rFonts w:hint="eastAsia" w:ascii="宋体" w:hAnsi="宋体"/>
          <w:b/>
          <w:sz w:val="36"/>
          <w:szCs w:val="36"/>
        </w:rPr>
        <w:t>年度）</w:t>
      </w:r>
    </w:p>
    <w:p w14:paraId="59BFC268">
      <w:pPr>
        <w:jc w:val="center"/>
        <w:rPr>
          <w:rFonts w:ascii="宋体" w:hAnsi="宋体"/>
          <w:b/>
          <w:sz w:val="36"/>
          <w:szCs w:val="36"/>
        </w:rPr>
      </w:pPr>
    </w:p>
    <w:p w14:paraId="6E3A9EC1">
      <w:pPr>
        <w:jc w:val="center"/>
        <w:rPr>
          <w:rFonts w:ascii="宋体" w:hAnsi="宋体"/>
          <w:b/>
          <w:sz w:val="36"/>
          <w:szCs w:val="36"/>
        </w:rPr>
      </w:pPr>
    </w:p>
    <w:p w14:paraId="2B3245D2">
      <w:pPr>
        <w:jc w:val="center"/>
        <w:rPr>
          <w:rFonts w:ascii="宋体" w:hAnsi="宋体"/>
          <w:b/>
          <w:sz w:val="36"/>
          <w:szCs w:val="36"/>
        </w:rPr>
      </w:pPr>
    </w:p>
    <w:p w14:paraId="2636EE53">
      <w:pPr>
        <w:jc w:val="left"/>
        <w:rPr>
          <w:rFonts w:ascii="宋体" w:hAnsi="宋体"/>
          <w:b/>
          <w:sz w:val="36"/>
          <w:szCs w:val="36"/>
        </w:rPr>
      </w:pPr>
      <w:r>
        <w:rPr>
          <w:rFonts w:ascii="华文中宋" w:hAnsi="华文中宋" w:eastAsia="华文中宋" w:cs="宋体"/>
          <w:b/>
          <w:color w:val="000000"/>
          <w:kern w:val="0"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1179830</wp:posOffset>
                </wp:positionH>
                <wp:positionV relativeFrom="paragraph">
                  <wp:posOffset>897255</wp:posOffset>
                </wp:positionV>
                <wp:extent cx="4311015" cy="289560"/>
                <wp:effectExtent l="0" t="0" r="0" b="0"/>
                <wp:wrapNone/>
                <wp:docPr id="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1015" cy="2895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89F417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6" o:spt="202" type="#_x0000_t202" style="position:absolute;left:0pt;margin-left:92.9pt;margin-top:70.65pt;height:22.8pt;width:339.45pt;z-index:251661312;mso-width-relative:page;mso-height-relative:margin;mso-height-percent:200;" fillcolor="#FFFFFF" filled="t" stroked="f" coordsize="21600,21600" o:gfxdata="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yOxCz9cAAAALAQAADwAAAAAAAAABACAAAAAiAAAAZHJzL2Rvd25yZXYueG1sUEsBAhQA&#10;FAAAAAgAh07iQIxn1essAgAAaQQAAA4AAAAAAAAAAQAgAAAAJgEAAGRycy9lMm9Eb2MueG1sUEsF&#10;BgAAAAAGAAYAWQEAAMQFAAAAAA==&#10;">
                <v:fill on="t" opacity="0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7F89F417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华文中宋" w:hAnsi="华文中宋" w:eastAsia="华文中宋" w:cs="宋体"/>
          <w:b/>
          <w:color w:val="000000"/>
          <w:kern w:val="0"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1117600</wp:posOffset>
                </wp:positionH>
                <wp:positionV relativeFrom="paragraph">
                  <wp:posOffset>494665</wp:posOffset>
                </wp:positionV>
                <wp:extent cx="4330065" cy="487680"/>
                <wp:effectExtent l="0" t="0" r="0" b="0"/>
                <wp:wrapNone/>
                <wp:docPr id="4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065" cy="487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8D2C998">
                            <w:pPr>
                              <w:rPr>
                                <w:rFonts w:ascii="宋体" w:hAnsi="宋体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o:spid="_x0000_s1026" o:spt="202" type="#_x0000_t202" style="position:absolute;left:0pt;margin-left:88pt;margin-top:38.95pt;height:38.4pt;width:340.95pt;z-index:251660288;mso-width-relative:page;mso-height-relative:margin;mso-height-percent:200;" fillcolor="#FFFFFF" filled="t" stroked="f" coordsize="21600,21600" o:gfxdata="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Pk6bSzWAAAACgEAAA8AAAAAAAAAAQAgAAAAIgAAAGRycy9kb3ducmV2LnhtbFBLAQIUABQA&#10;AAAIAIdO4kCF1BhsKwIAAGkEAAAOAAAAAAAAAAEAIAAAACUBAABkcnMvZTJvRG9jLnhtbFBLBQYA&#10;AAAABgAGAFkBAADCBQAAAAA=&#10;">
                <v:fill on="t" opacity="0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28D2C998">
                      <w:pPr>
                        <w:rPr>
                          <w:rFonts w:ascii="宋体" w:hAnsi="宋体"/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5B3E46">
      <w:pPr>
        <w:rPr>
          <w:rFonts w:ascii="宋体" w:hAnsi="宋体"/>
          <w:b/>
          <w:sz w:val="36"/>
          <w:szCs w:val="36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 w14:paraId="07061A79">
      <w:p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一、序言</w:t>
      </w:r>
    </w:p>
    <w:p w14:paraId="66F28DAE">
      <w:p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南通市康桥油脂有限公司（以下简称“康桥公司”）一直秉持“真诚、务实、创新、服务”的经营理念，在自身不断发展壮大的同时，时刻不忘企业所应承担的社会责任，坚持实现对社会、员工、客户及投资者共赢理念，促进企业与社会的协调、和谐与可持续发展。</w:t>
      </w:r>
    </w:p>
    <w:p w14:paraId="5FF0FEA5">
      <w:p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人才是第一生产力。康桥一直将培养人才、尊重人才放在企业发展的首位，努力营造和谐并富有活力的人才培养环境。我们积极奉行“以人为本 、唯才是用”的人才观，为各类人才搭建起成长和充分施展才华的舞台，并与员工共同分享企业发展的成果，真正形成了人才与企业共发展的良性机制。同时，我们积极倡导“快乐工作、健康生活”的理念，在企业快速发展过程中，大力提倡幸福、快乐的心态，充分营造环境良好、健康和谐的氛围，不断创造企业和谐，更为社会和谐贡献一份力量；通过各项公益活动，参与公共事业、承担社会责任，强化对人的责任、对环境的责任以及对社会、国家的责任，时时刻刻以感恩的心不断参与各种慈善事业，全力打造具有社会责任感的幸福企业。</w:t>
      </w:r>
    </w:p>
    <w:p w14:paraId="06145F33">
      <w:p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二、企业简介</w:t>
      </w:r>
    </w:p>
    <w:p w14:paraId="1AD16B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南通市康桥油脂有限公司成立于2006年，地址位于海安市经济开发区康桥路2号，占地面积100010平方米，固定资产总额16115.03万元，现有员工180余人，是一家集生产、销售、科研和技术服务于一体，专业生产硬脂酸及其衍生产品的大型化工企业。在同行业中，公司率先获取了ISO9001、ISO14001、ISO 50001、ISO 45001等证书；2012年公司重点完善工艺技术改造，提升产品品质，新增产值5亿元的技改项目在当年一季度投产。此外，公司在印尼投资新建了康桥油脂（印尼）有限公司，2016年在如皋投资新建了50万吨年油脂化工综合生产项目，使企业的发展迈上了一个新台阶。产品广泛应用于石油化工、日用化工、橡胶、纺织、医药、冶金、军工等行业，畅销全国二十多个省市自治区，深受广大用户的信赖和一致好评。</w:t>
      </w:r>
    </w:p>
    <w:p w14:paraId="3D035F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公司时刻牢记“与员工共求发展 与客户共享成功 与社会共同进步”的企业宗旨，积极探索制度化、科学化的管理方法，理顺“经营是龙头、质量是生命、技术是核心、资金是血液、服务是保障、质量是根本、效益是源泉”的管理逻辑，建立“经营销售、合同评审、生产供货、资金回收、售后服务”一条龙的管理链条。运用先进的DCS中央控制系统，降成本、提效率，大大减少人力和物力，持续推动企业健康、快速、和谐发展。企业在基础建设、队伍建设、科技创新、精益化管理、风险管控等方面显著加强，企业核心竞争力明显提升，企业团队和谐、团结、积极向上，充满生机和活力。</w:t>
      </w:r>
    </w:p>
    <w:p w14:paraId="4FEC8C84">
      <w:pPr>
        <w:spacing w:line="360" w:lineRule="auto"/>
        <w:ind w:firstLine="482" w:firstLineChars="200"/>
        <w:jc w:val="left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三、产品服务</w:t>
      </w:r>
    </w:p>
    <w:p w14:paraId="664E6882">
      <w:p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1.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公司建立健全与顾客之间的良好沟通机制，保持与顾客之间的良好沟通和信息交流，充分尊重和保护顾客利益，以满足顾客需求为前提，不断改进产品和优化服务水平。</w:t>
      </w:r>
    </w:p>
    <w:p w14:paraId="2B8A169B"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mc:AlternateContent>
          <mc:Choice Requires="wpg">
            <w:drawing>
              <wp:inline distT="0" distB="0" distL="114300" distR="114300">
                <wp:extent cx="4772025" cy="3832860"/>
                <wp:effectExtent l="0" t="6350" r="0" b="8890"/>
                <wp:docPr id="1" name="组合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72025" cy="3832860"/>
                          <a:chOff x="3276" y="3576"/>
                          <a:chExt cx="4343" cy="4356"/>
                        </a:xfrm>
                        <a:effectLst/>
                      </wpg:grpSpPr>
                      <wps:wsp>
                        <wps:cNvPr id="2" name="AutoShape 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276" y="3576"/>
                            <a:ext cx="4343" cy="4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390" y="3877"/>
                            <a:ext cx="1259" cy="3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B26AC8D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直接交易顾客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762" y="3877"/>
                            <a:ext cx="1143" cy="3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99CCFF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ACB156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间接交易顾客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019" y="3877"/>
                            <a:ext cx="915" cy="3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B82F522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潜在顾客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847" y="3576"/>
                            <a:ext cx="1" cy="30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333" y="3576"/>
                            <a:ext cx="2" cy="30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362" y="3576"/>
                            <a:ext cx="1" cy="30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847" y="3576"/>
                            <a:ext cx="3543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305" y="4177"/>
                            <a:ext cx="1" cy="40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333" y="4177"/>
                            <a:ext cx="2" cy="30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6362" y="4177"/>
                            <a:ext cx="1" cy="40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7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3962" y="4478"/>
                            <a:ext cx="2743" cy="803"/>
                          </a:xfrm>
                          <a:prstGeom prst="ellipse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txbx>
                          <w:txbxContent>
                            <w:p w14:paraId="33EE02C3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5A3EFD97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营销组织网络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533" y="5381"/>
                            <a:ext cx="3" cy="50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790" y="5381"/>
                            <a:ext cx="2" cy="50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0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3390" y="5381"/>
                            <a:ext cx="914" cy="502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txbx>
                          <w:txbxContent>
                            <w:p w14:paraId="7E4B0017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顾客资料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6133" y="5381"/>
                            <a:ext cx="913" cy="503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txbx>
                          <w:txbxContent>
                            <w:p w14:paraId="54FFA5B2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市场资料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076" y="5882"/>
                            <a:ext cx="2286" cy="402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4CB1563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顾客关系管理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5219" y="6283"/>
                            <a:ext cx="1" cy="40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076" y="6484"/>
                            <a:ext cx="2286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076" y="6484"/>
                            <a:ext cx="1" cy="2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6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6362" y="6484"/>
                            <a:ext cx="1" cy="2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7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619" y="6684"/>
                            <a:ext cx="800" cy="302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5028A6F">
                              <w:r>
                                <w:rPr>
                                  <w:rFonts w:hint="eastAsia"/>
                                </w:rPr>
                                <w:t>重要顾客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647" y="6684"/>
                            <a:ext cx="1029" cy="301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99CCFF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593F48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一般顾客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6019" y="6684"/>
                            <a:ext cx="914" cy="301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C402F6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潜在顾客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5219" y="6985"/>
                            <a:ext cx="1" cy="40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4076" y="6985"/>
                            <a:ext cx="1" cy="19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2" name="Line 29"/>
                        <wps:cNvCnPr>
                          <a:cxnSpLocks noChangeShapeType="1"/>
                        </wps:cNvCnPr>
                        <wps:spPr bwMode="auto">
                          <a:xfrm flipV="1">
                            <a:off x="6476" y="6985"/>
                            <a:ext cx="1" cy="19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4076" y="7186"/>
                            <a:ext cx="240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390" y="7386"/>
                            <a:ext cx="3886" cy="502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504" y="7487"/>
                            <a:ext cx="801" cy="299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969ED88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营销政策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419" y="7487"/>
                            <a:ext cx="800" cy="3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67455C8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顾客服务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333" y="7487"/>
                            <a:ext cx="801" cy="3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6C535C8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咨询投诉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6248" y="7487"/>
                            <a:ext cx="801" cy="3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CFAD79C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交流合作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390" y="3576"/>
                            <a:ext cx="2" cy="411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0" name="Line 37"/>
                        <wps:cNvCnPr>
                          <a:cxnSpLocks noChangeShapeType="1"/>
                        </wps:cNvCnPr>
                        <wps:spPr bwMode="auto">
                          <a:xfrm flipH="1">
                            <a:off x="7276" y="7687"/>
                            <a:ext cx="114" cy="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0" o:spid="_x0000_s1026" o:spt="203" style="height:301.8pt;width:375.75pt;" coordorigin="3276,3576" coordsize="4343,4356" o:gfxdata="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">
                <o:lock v:ext="edit" aspectratio="t"/>
                <v:rect id="AutoShape 3" o:spid="_x0000_s1026" o:spt="1" style="position:absolute;left:3276;top:3576;height:4356;width:4343;" filled="f" stroked="f" coordsize="21600,21600" o:gfxdata="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zqtzq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text="t" aspectratio="t"/>
                </v:rect>
                <v:shape id="Text Box 4" o:spid="_x0000_s1026" o:spt="202" type="#_x0000_t202" style="position:absolute;left:3390;top:3877;height:300;width:1259;" fillcolor="#99CCFF" filled="t" stroked="t" coordsize="21600,21600" o:gfxdata="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S0Tk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6B26AC8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直接交易顾客</w:t>
                        </w:r>
                      </w:p>
                    </w:txbxContent>
                  </v:textbox>
                </v:shape>
                <v:shape id="Text Box 5" o:spid="_x0000_s1026" o:spt="202" type="#_x0000_t202" style="position:absolute;left:4762;top:3877;height:300;width:1143;" fillcolor="#99CCFF" filled="t" stroked="t" coordsize="21600,21600" o:gfxdata="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XngNy5AAAA2gAA&#10;AA8AAAAAAAAAAQAgAAAAIgAAAGRycy9kb3ducmV2LnhtbFBLAQIUABQAAAAIAIdO4kAzLwWeOwAA&#10;ADkAAAAQAAAAAAAAAAEAIAAAAAgBAABkcnMvc2hhcGV4bWwueG1sUEsFBgAAAAAGAAYAWwEAALID&#10;AAAAAA==&#10;">
                  <v:fill on="t" focussize="0,0"/>
                  <v:stroke color="#99CCFF" miterlimit="8" joinstyle="miter"/>
                  <v:imagedata o:title=""/>
                  <o:lock v:ext="edit" aspectratio="f"/>
                  <v:textbox>
                    <w:txbxContent>
                      <w:p w14:paraId="5ACB156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间接交易顾客</w:t>
                        </w:r>
                      </w:p>
                    </w:txbxContent>
                  </v:textbox>
                </v:shape>
                <v:shape id="Text Box 6" o:spid="_x0000_s1026" o:spt="202" type="#_x0000_t202" style="position:absolute;left:6019;top:3877;height:300;width:915;" fillcolor="#99CCFF" filled="t" stroked="t" coordsize="21600,21600" o:gfxdata="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mHUN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4B82F522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潜在顾客</w:t>
                        </w:r>
                      </w:p>
                    </w:txbxContent>
                  </v:textbox>
                </v:shape>
                <v:line id="Line 7" o:spid="_x0000_s1026" o:spt="20" style="position:absolute;left:3847;top:3576;height:301;width:1;" filled="f" stroked="t" coordsize="21600,21600" o:gfxdata="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wriZ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Line 8" o:spid="_x0000_s1026" o:spt="20" style="position:absolute;left:5333;top:3576;height:301;width:2;" filled="f" stroked="t" coordsize="21600,21600" o:gfxdata="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jh0C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Line 9" o:spid="_x0000_s1026" o:spt="20" style="position:absolute;left:6362;top:3576;height:301;width:1;" filled="f" stroked="t" coordsize="21600,21600" o:gfxdata="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XIN1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Line 10" o:spid="_x0000_s1026" o:spt="20" style="position:absolute;left:3847;top:3576;height:1;width:3543;" filled="f" stroked="t" coordsize="21600,21600" o:gfxdata="UEsDBAoAAAAAAIdO4kAAAAAAAAAAAAAAAAAEAAAAZHJzL1BLAwQUAAAACACHTuJAL6Nl37oAAADb&#10;AAAADwAAAGRycy9kb3ducmV2LnhtbEVPS4vCMBC+C/sfwizsTVMV1l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o2Xf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1" o:spid="_x0000_s1026" o:spt="20" style="position:absolute;left:4305;top:4177;height:402;width:1;" filled="f" stroked="t" coordsize="21600,21600" o:gfxdata="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+b6a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Line 12" o:spid="_x0000_s1026" o:spt="20" style="position:absolute;left:5333;top:4177;height:302;width:2;" filled="f" stroked="t" coordsize="21600,21600" o:gfxdata="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tRsB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Line 13" o:spid="_x0000_s1026" o:spt="20" style="position:absolute;left:6362;top:4177;height:403;width:1;" filled="f" stroked="t" coordsize="21600,21600" o:gfxdata="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Z4V2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shape id="Oval 14" o:spid="_x0000_s1026" o:spt="3" type="#_x0000_t3" style="position:absolute;left:3962;top:4478;height:803;width:2743;" fillcolor="#CCFFCC" filled="t" stroked="t" coordsize="21600,21600" o:gfxdata="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dpaW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 w14:paraId="33EE02C3">
                        <w:pPr>
                          <w:jc w:val="center"/>
                          <w:rPr>
                            <w:sz w:val="24"/>
                          </w:rPr>
                        </w:pPr>
                      </w:p>
                      <w:p w14:paraId="5A3EFD97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营销组织网络</w:t>
                        </w:r>
                      </w:p>
                    </w:txbxContent>
                  </v:textbox>
                </v:shape>
                <v:line id="Line 15" o:spid="_x0000_s1026" o:spt="20" style="position:absolute;left:4533;top:5381;height:502;width:3;" filled="f" stroked="t" coordsize="21600,21600" o:gfxdata="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tLSf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Line 16" o:spid="_x0000_s1026" o:spt="20" style="position:absolute;left:5790;top:5381;height:502;width:2;" filled="f" stroked="t" coordsize="21600,21600" o:gfxdata="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+BEE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shape id="AutoShape 17" o:spid="_x0000_s1026" o:spt="98" type="#_x0000_t98" style="position:absolute;left:3390;top:5381;height:502;width:914;" fillcolor="#99CCFF" filled="t" stroked="t" coordsize="21600,21600" o:gfxdata="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BZ2VbgAAADbAAAA&#10;DwAAAAAAAAABACAAAAAiAAAAZHJzL2Rvd25yZXYueG1sUEsBAhQAFAAAAAgAh07iQDMvBZ47AAAA&#10;OQAAABAAAAAAAAAAAQAgAAAABwEAAGRycy9zaGFwZXhtbC54bWxQSwUGAAAAAAYABgBbAQAAsQMA&#10;AAAA&#10;" adj="2700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 w14:paraId="7E4B0017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顾客资料</w:t>
                        </w:r>
                      </w:p>
                    </w:txbxContent>
                  </v:textbox>
                </v:shape>
                <v:shape id="AutoShape 18" o:spid="_x0000_s1026" o:spt="98" type="#_x0000_t98" style="position:absolute;left:6133;top:5381;height:503;width:913;" fillcolor="#99CCFF" filled="t" stroked="t" coordsize="21600,21600" o:gfxdata="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a0868AAAA&#10;2wAAAA8AAAAAAAAAAQAgAAAAIgAAAGRycy9kb3ducmV2LnhtbFBLAQIUABQAAAAIAIdO4kAzLwWe&#10;OwAAADkAAAAQAAAAAAAAAAEAIAAAAAsBAABkcnMvc2hhcGV4bWwueG1sUEsFBgAAAAAGAAYAWwEA&#10;ALUDAAAAAA==&#10;" adj="2700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 w14:paraId="54FFA5B2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市场资料</w:t>
                        </w:r>
                      </w:p>
                    </w:txbxContent>
                  </v:textbox>
                </v:shape>
                <v:shape id="Text Box 19" o:spid="_x0000_s1026" o:spt="202" type="#_x0000_t202" style="position:absolute;left:4076;top:5882;height:402;width:2286;" fillcolor="#99CCFF" filled="t" stroked="t" coordsize="21600,21600" o:gfxdata="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GWzAG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54CB1563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顾客关系管理</w:t>
                        </w:r>
                      </w:p>
                    </w:txbxContent>
                  </v:textbox>
                </v:shape>
                <v:line id="Line 20" o:spid="_x0000_s1026" o:spt="20" style="position:absolute;left:5219;top:6283;height:401;width:1;" filled="f" stroked="t" coordsize="21600,21600" o:gfxdata="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fOxT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Line 21" o:spid="_x0000_s1026" o:spt="20" style="position:absolute;left:4076;top:6484;height:1;width:2286;" filled="f" stroked="t" coordsize="21600,21600" o:gfxdata="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JjcW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2" o:spid="_x0000_s1026" o:spt="20" style="position:absolute;left:4076;top:6484;height:200;width:1;" filled="f" stroked="t" coordsize="21600,21600" o:gfxdata="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dnRv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Line 23" o:spid="_x0000_s1026" o:spt="20" style="position:absolute;left:6362;top:6484;height:200;width:1;" filled="f" stroked="t" coordsize="21600,21600" o:gfxdata="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C0/L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shape id="Text Box 24" o:spid="_x0000_s1026" o:spt="202" type="#_x0000_t202" style="position:absolute;left:3619;top:6684;height:302;width:800;" fillcolor="#99CCFF" filled="t" stroked="t" coordsize="21600,21600" o:gfxdata="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Hhb5m/&#10;AAAA2wAAAA8AAAAAAAAAAQAgAAAAIgAAAGRycy9kb3ducmV2LnhtbFBLAQIUABQAAAAIAIdO4kAz&#10;LwWeOwAAADkAAAAQAAAAAAAAAAEAIAAAAA4BAABkcnMvc2hhcGV4bWwueG1sUEsFBgAAAAAGAAYA&#10;WwEAALg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15028A6F">
                        <w:r>
                          <w:rPr>
                            <w:rFonts w:hint="eastAsia"/>
                          </w:rPr>
                          <w:t>重要顾客</w:t>
                        </w:r>
                      </w:p>
                    </w:txbxContent>
                  </v:textbox>
                </v:shape>
                <v:shape id="Text Box 25" o:spid="_x0000_s1026" o:spt="202" type="#_x0000_t202" style="position:absolute;left:4647;top:6684;height:301;width:1029;" fillcolor="#99CCFF" filled="t" stroked="t" coordsize="21600,21600" o:gfxdata="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51sg7sAAADb&#10;AAAADwAAAAAAAAABACAAAAAiAAAAZHJzL2Rvd25yZXYueG1sUEsBAhQAFAAAAAgAh07iQDMvBZ47&#10;AAAAOQAAABAAAAAAAAAAAQAgAAAACgEAAGRycy9zaGFwZXhtbC54bWxQSwUGAAAAAAYABgBbAQAA&#10;tAMAAAAA&#10;">
                  <v:fill on="t" focussize="0,0"/>
                  <v:stroke color="#99CCFF" miterlimit="8" joinstyle="miter"/>
                  <v:imagedata o:title=""/>
                  <o:lock v:ext="edit" aspectratio="f"/>
                  <v:textbox>
                    <w:txbxContent>
                      <w:p w14:paraId="0593F48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一般顾客</w:t>
                        </w:r>
                      </w:p>
                    </w:txbxContent>
                  </v:textbox>
                </v:shape>
                <v:shape id="Text Box 26" o:spid="_x0000_s1026" o:spt="202" type="#_x0000_t202" style="position:absolute;left:6019;top:6684;height:301;width:914;" fillcolor="#99CCFF" filled="t" stroked="t" coordsize="21600,21600" o:gfxdata="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8yXnC/&#10;AAAA2wAAAA8AAAAAAAAAAQAgAAAAIgAAAGRycy9kb3ducmV2LnhtbFBLAQIUABQAAAAIAIdO4kAz&#10;LwWeOwAAADkAAAAQAAAAAAAAAAEAIAAAAA4BAABkcnMvc2hhcGV4bWwueG1sUEsFBgAAAAAGAAYA&#10;WwEAALg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1C402F6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潜在顾客</w:t>
                        </w:r>
                      </w:p>
                    </w:txbxContent>
                  </v:textbox>
                </v:shape>
                <v:line id="Line 27" o:spid="_x0000_s1026" o:spt="20" style="position:absolute;left:5219;top:6985;height:401;width:1;" filled="f" stroked="t" coordsize="21600,21600" o:gfxdata="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sj9xi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000000" joinstyle="round" startarrow="block" endarrow="block"/>
                  <v:imagedata o:title=""/>
                  <o:lock v:ext="edit" aspectratio="f"/>
                </v:line>
                <v:line id="Line 28" o:spid="_x0000_s1026" o:spt="20" style="position:absolute;left:4076;top:6985;flip:y;height:199;width:1;" filled="f" stroked="t" coordsize="21600,21600" o:gfxdata="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CCFq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Line 29" o:spid="_x0000_s1026" o:spt="20" style="position:absolute;left:6476;top:6985;flip:y;height:199;width:1;" filled="f" stroked="t" coordsize="21600,21600" o:gfxdata="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2r8d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Line 30" o:spid="_x0000_s1026" o:spt="20" style="position:absolute;left:4076;top:7186;height:1;width:2400;" filled="f" stroked="t" coordsize="21600,21600" o:gfxdata="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Fjm/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rect id="Rectangle 31" o:spid="_x0000_s1026" o:spt="1" style="position:absolute;left:3390;top:7386;height:502;width:3886;" fillcolor="#CCFFCC" filled="t" stroked="t" coordsize="21600,21600" o:gfxdata="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cCTiK/&#10;AAAA2wAAAA8AAAAAAAAAAQAgAAAAIgAAAGRycy9kb3ducmV2LnhtbFBLAQIUABQAAAAIAIdO4kAz&#10;LwWeOwAAADkAAAAQAAAAAAAAAAEAIAAAAA4BAABkcnMvc2hhcGV4bWwueG1sUEsFBgAAAAAGAAYA&#10;WwEAALgDAAAAAA==&#10;">
                  <v:fill on="t" focussize="0,0"/>
                  <v:stroke color="#000000" miterlimit="8" joinstyle="miter"/>
                  <v:imagedata o:title=""/>
                  <o:lock v:ext="edit" aspectratio="f"/>
                </v:rect>
                <v:shape id="Text Box 32" o:spid="_x0000_s1026" o:spt="202" type="#_x0000_t202" style="position:absolute;left:3504;top:7487;height:299;width:801;" fillcolor="#99CCFF" filled="t" stroked="t" coordsize="21600,21600" o:gfxdata="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umwqi/&#10;AAAA2wAAAA8AAAAAAAAAAQAgAAAAIgAAAGRycy9kb3ducmV2LnhtbFBLAQIUABQAAAAIAIdO4kAz&#10;LwWeOwAAADkAAAAQAAAAAAAAAAEAIAAAAA4BAABkcnMvc2hhcGV4bWwueG1sUEsFBgAAAAAGAAYA&#10;WwEAALg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1969ED88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营销政策</w:t>
                        </w:r>
                      </w:p>
                    </w:txbxContent>
                  </v:textbox>
                </v:shape>
                <v:shape id="Text Box 33" o:spid="_x0000_s1026" o:spt="202" type="#_x0000_t202" style="position:absolute;left:4419;top:7487;height:300;width:800;" fillcolor="#99CCFF" filled="t" stroked="t" coordsize="21600,21600" o:gfxdata="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dFzf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767455C8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顾客服务</w:t>
                        </w:r>
                      </w:p>
                    </w:txbxContent>
                  </v:textbox>
                </v:shape>
                <v:shape id="Text Box 34" o:spid="_x0000_s1026" o:spt="202" type="#_x0000_t202" style="position:absolute;left:5333;top:7487;height:300;width:801;" fillcolor="#99CCFF" filled="t" stroked="t" coordsize="21600,21600" o:gfxdata="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Q4+US/&#10;AAAA2wAAAA8AAAAAAAAAAQAgAAAAIgAAAGRycy9kb3ducmV2LnhtbFBLAQIUABQAAAAIAIdO4kAz&#10;LwWeOwAAADkAAAAQAAAAAAAAAAEAIAAAAA4BAABkcnMvc2hhcGV4bWwueG1sUEsFBgAAAAAGAAYA&#10;WwEAALg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56C535C8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咨询投诉</w:t>
                        </w:r>
                      </w:p>
                    </w:txbxContent>
                  </v:textbox>
                </v:shape>
                <v:shape id="Text Box 35" o:spid="_x0000_s1026" o:spt="202" type="#_x0000_t202" style="position:absolute;left:6248;top:7487;height:300;width:801;" fillcolor="#99CCFF" filled="t" stroked="t" coordsize="21600,21600" o:gfxdata="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Vp202twAAANsAAAAP&#10;AAAAAAAAAAEAIAAAACIAAABkcnMvZG93bnJldi54bWxQSwECFAAUAAAACACHTuJAMy8FnjsAAAA5&#10;AAAAEAAAAAAAAAABACAAAAAGAQAAZHJzL3NoYXBleG1sLnhtbFBLBQYAAAAABgAGAFsBAACwAwAA&#10;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1CFAD79C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交流合作</w:t>
                        </w:r>
                      </w:p>
                    </w:txbxContent>
                  </v:textbox>
                </v:shape>
                <v:line id="Line 36" o:spid="_x0000_s1026" o:spt="20" style="position:absolute;left:7390;top:3576;height:4112;width:2;" filled="f" stroked="t" coordsize="21600,21600" o:gfxdata="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f4OVb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37" o:spid="_x0000_s1026" o:spt="20" style="position:absolute;left:7276;top:7687;flip:x;height:1;width:114;" filled="f" stroked="t" coordsize="21600,21600" o:gfxdata="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DxUcctwAAANsAAAAP&#10;AAAAAAAAAAEAIAAAACIAAABkcnMvZG93bnJldi54bWxQSwECFAAUAAAACACHTuJAMy8FnjsAAAA5&#10;AAAAEAAAAAAAAAABACAAAAAGAQAAZHJzL3NoYXBleG1sLnhtbFBLBQYAAAAABgAGAFsBAACwAwAA&#10;AAA=&#10;">
                  <v:fill on="f" focussize="0,0"/>
                  <v:stroke weight="1.5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14:paraId="4480781F">
      <w:pPr>
        <w:pStyle w:val="10"/>
        <w:spacing w:line="360" w:lineRule="auto"/>
        <w:ind w:firstLine="480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为了让顾客更大程度上获得满足，使其成为康桥公司最忠诚的顾客群，公司实施了多元化的顾客服务，从多方面更深入的为顾客提供优质、快捷、完善、细心、周到的服务，与顾客建立良好的互动关系，具体服务如下：</w:t>
      </w:r>
    </w:p>
    <w:p w14:paraId="194BA6AE">
      <w:pPr>
        <w:pStyle w:val="10"/>
        <w:spacing w:line="360" w:lineRule="auto"/>
        <w:ind w:firstLine="480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/>
          <w:color w:val="000000"/>
          <w:sz w:val="24"/>
          <w:szCs w:val="24"/>
        </w:rPr>
        <w:fldChar w:fldCharType="begin"/>
      </w:r>
      <w:r>
        <w:rPr>
          <w:rFonts w:hint="eastAsia" w:ascii="宋体" w:hAnsi="宋体" w:cs="宋体"/>
          <w:color w:val="000000"/>
          <w:sz w:val="24"/>
          <w:szCs w:val="24"/>
        </w:rPr>
        <w:instrText xml:space="preserve">= 1 \* GB3</w:instrText>
      </w:r>
      <w:r>
        <w:rPr>
          <w:rFonts w:ascii="宋体" w:hAnsi="宋体" w:cs="宋体"/>
          <w:color w:val="000000"/>
          <w:sz w:val="24"/>
          <w:szCs w:val="24"/>
        </w:rPr>
        <w:fldChar w:fldCharType="separate"/>
      </w:r>
      <w:r>
        <w:rPr>
          <w:rFonts w:hint="eastAsia" w:ascii="宋体" w:hAnsi="宋体" w:cs="宋体"/>
          <w:color w:val="000000"/>
          <w:sz w:val="24"/>
          <w:szCs w:val="24"/>
        </w:rPr>
        <w:t>①</w:t>
      </w:r>
      <w:r>
        <w:rPr>
          <w:rFonts w:ascii="宋体" w:hAnsi="宋体" w:cs="宋体"/>
          <w:color w:val="000000"/>
          <w:sz w:val="24"/>
          <w:szCs w:val="24"/>
        </w:rPr>
        <w:fldChar w:fldCharType="end"/>
      </w:r>
      <w:r>
        <w:rPr>
          <w:rFonts w:hint="eastAsia" w:ascii="宋体" w:hAnsi="宋体" w:cs="宋体"/>
          <w:color w:val="000000"/>
          <w:sz w:val="24"/>
          <w:szCs w:val="24"/>
        </w:rPr>
        <w:t>建立客户接待流程，客户的来访行程、目的、需求、用车、用餐、酒店要求、会议室中的礼仪等等内容，以及客户离开后的会议纪要、工作跟进要求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均</w:t>
      </w:r>
      <w:r>
        <w:rPr>
          <w:rFonts w:hint="eastAsia" w:ascii="宋体" w:hAnsi="宋体" w:cs="宋体"/>
          <w:color w:val="000000"/>
          <w:sz w:val="24"/>
          <w:szCs w:val="24"/>
        </w:rPr>
        <w:t>培训到位，让客户享受家一般的感受。</w:t>
      </w:r>
    </w:p>
    <w:p w14:paraId="3B813ADC">
      <w:pPr>
        <w:pStyle w:val="10"/>
        <w:spacing w:line="360" w:lineRule="auto"/>
        <w:ind w:firstLine="480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/>
          <w:color w:val="000000"/>
          <w:sz w:val="24"/>
          <w:szCs w:val="24"/>
        </w:rPr>
        <w:fldChar w:fldCharType="begin"/>
      </w:r>
      <w:r>
        <w:rPr>
          <w:rFonts w:hint="eastAsia" w:ascii="宋体" w:hAnsi="宋体" w:cs="宋体"/>
          <w:color w:val="000000"/>
          <w:sz w:val="24"/>
          <w:szCs w:val="24"/>
        </w:rPr>
        <w:instrText xml:space="preserve">= 2 \* GB3</w:instrText>
      </w:r>
      <w:r>
        <w:rPr>
          <w:rFonts w:ascii="宋体" w:hAnsi="宋体" w:cs="宋体"/>
          <w:color w:val="000000"/>
          <w:sz w:val="24"/>
          <w:szCs w:val="24"/>
        </w:rPr>
        <w:fldChar w:fldCharType="separate"/>
      </w:r>
      <w:r>
        <w:rPr>
          <w:rFonts w:hint="eastAsia" w:ascii="宋体" w:hAnsi="宋体" w:cs="宋体"/>
          <w:color w:val="000000"/>
          <w:sz w:val="24"/>
          <w:szCs w:val="24"/>
        </w:rPr>
        <w:t>②</w:t>
      </w:r>
      <w:r>
        <w:rPr>
          <w:rFonts w:ascii="宋体" w:hAnsi="宋体" w:cs="宋体"/>
          <w:color w:val="000000"/>
          <w:sz w:val="24"/>
          <w:szCs w:val="24"/>
        </w:rPr>
        <w:fldChar w:fldCharType="end"/>
      </w:r>
      <w:r>
        <w:rPr>
          <w:rFonts w:hint="eastAsia" w:ascii="宋体" w:hAnsi="宋体" w:cs="宋体"/>
          <w:color w:val="000000"/>
          <w:sz w:val="24"/>
          <w:szCs w:val="24"/>
        </w:rPr>
        <w:t>快速回复，对于客户的询问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都做到第一时间</w:t>
      </w:r>
      <w:r>
        <w:rPr>
          <w:rFonts w:hint="eastAsia" w:ascii="宋体" w:hAnsi="宋体" w:cs="宋体"/>
          <w:color w:val="000000"/>
          <w:sz w:val="24"/>
          <w:szCs w:val="24"/>
        </w:rPr>
        <w:t>回复，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未能及时</w:t>
      </w:r>
      <w:r>
        <w:rPr>
          <w:rFonts w:hint="eastAsia" w:ascii="宋体" w:hAnsi="宋体" w:cs="宋体"/>
          <w:color w:val="000000"/>
          <w:sz w:val="24"/>
          <w:szCs w:val="24"/>
        </w:rPr>
        <w:t>给予回复的，也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告知</w:t>
      </w:r>
      <w:r>
        <w:rPr>
          <w:rFonts w:hint="eastAsia" w:ascii="宋体" w:hAnsi="宋体" w:cs="宋体"/>
          <w:color w:val="000000"/>
          <w:sz w:val="24"/>
          <w:szCs w:val="24"/>
        </w:rPr>
        <w:t>客户预计在什么时候可以给到回复；快速交样，把客户的想法以最快的速度呈现出来。</w:t>
      </w:r>
    </w:p>
    <w:p w14:paraId="1CF4BA2E">
      <w:pPr>
        <w:pStyle w:val="10"/>
        <w:spacing w:line="360" w:lineRule="auto"/>
        <w:ind w:firstLine="480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/>
          <w:color w:val="000000"/>
          <w:sz w:val="24"/>
          <w:szCs w:val="24"/>
        </w:rPr>
        <w:fldChar w:fldCharType="begin"/>
      </w:r>
      <w:r>
        <w:rPr>
          <w:rFonts w:hint="eastAsia" w:ascii="宋体" w:hAnsi="宋体" w:cs="宋体"/>
          <w:color w:val="000000"/>
          <w:sz w:val="24"/>
          <w:szCs w:val="24"/>
        </w:rPr>
        <w:instrText xml:space="preserve">= 3 \* GB3</w:instrText>
      </w:r>
      <w:r>
        <w:rPr>
          <w:rFonts w:ascii="宋体" w:hAnsi="宋体" w:cs="宋体"/>
          <w:color w:val="000000"/>
          <w:sz w:val="24"/>
          <w:szCs w:val="24"/>
        </w:rPr>
        <w:fldChar w:fldCharType="separate"/>
      </w:r>
      <w:r>
        <w:rPr>
          <w:rFonts w:hint="eastAsia" w:ascii="宋体" w:hAnsi="宋体" w:cs="宋体"/>
          <w:color w:val="000000"/>
          <w:sz w:val="24"/>
          <w:szCs w:val="24"/>
        </w:rPr>
        <w:t>③</w:t>
      </w:r>
      <w:r>
        <w:rPr>
          <w:rFonts w:ascii="宋体" w:hAnsi="宋体" w:cs="宋体"/>
          <w:color w:val="000000"/>
          <w:sz w:val="24"/>
          <w:szCs w:val="24"/>
        </w:rPr>
        <w:fldChar w:fldCharType="end"/>
      </w:r>
      <w:r>
        <w:rPr>
          <w:rFonts w:hint="eastAsia" w:ascii="宋体" w:hAnsi="宋体" w:cs="宋体"/>
          <w:color w:val="000000"/>
          <w:sz w:val="24"/>
          <w:szCs w:val="24"/>
        </w:rPr>
        <w:t>想客户所想，想客户没有想到的：对于客户的每一封邮件、每一个要求都要回复全面，并且提醒客户没有想到的方面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。</w:t>
      </w:r>
      <w:r>
        <w:rPr>
          <w:rFonts w:hint="eastAsia" w:ascii="宋体" w:hAnsi="宋体" w:cs="宋体"/>
          <w:color w:val="000000"/>
          <w:sz w:val="24"/>
          <w:szCs w:val="24"/>
        </w:rPr>
        <w:t>例如，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疫情防控期间，物流科及时提醒客户，来海相关要求，提前告知客户最新风险动态和防疫措施，避免了客户误跑和空跑</w:t>
      </w:r>
      <w:r>
        <w:rPr>
          <w:rFonts w:hint="eastAsia" w:ascii="宋体" w:hAnsi="宋体" w:cs="宋体"/>
          <w:color w:val="000000"/>
          <w:sz w:val="24"/>
          <w:szCs w:val="24"/>
        </w:rPr>
        <w:t>。</w:t>
      </w:r>
    </w:p>
    <w:p w14:paraId="59823D84">
      <w:pPr>
        <w:spacing w:line="360" w:lineRule="auto"/>
        <w:ind w:firstLine="480" w:firstLineChars="2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2.公司定期采用拜访或调查问卷的形式对客户进行满意度调查，对客户提出的要求和建议要加强改进和采用，定期检查和分析客户满意度情况。</w:t>
      </w:r>
    </w:p>
    <w:p w14:paraId="735E3A0A">
      <w:pPr>
        <w:spacing w:line="360" w:lineRule="auto"/>
        <w:ind w:firstLine="480" w:firstLineChars="2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3.为了强化品质管理，提高企业效益；增强客户信心，扩大市场份额和提高企业形象等公司通过</w:t>
      </w:r>
      <w:r>
        <w:rPr>
          <w:rFonts w:hint="eastAsia" w:ascii="宋体" w:hAnsi="宋体" w:cs="新宋体"/>
          <w:color w:val="000000"/>
          <w:sz w:val="24"/>
          <w:szCs w:val="24"/>
          <w:lang w:val="en-US" w:eastAsia="zh-CN"/>
        </w:rPr>
        <w:t>环境、</w:t>
      </w:r>
      <w:r>
        <w:rPr>
          <w:rFonts w:hint="eastAsia" w:ascii="宋体" w:hAnsi="宋体" w:cs="新宋体"/>
          <w:color w:val="000000"/>
          <w:sz w:val="24"/>
          <w:szCs w:val="24"/>
        </w:rPr>
        <w:t>质量</w:t>
      </w:r>
      <w:r>
        <w:rPr>
          <w:rFonts w:hint="eastAsia" w:ascii="宋体" w:hAnsi="宋体" w:cs="新宋体"/>
          <w:color w:val="000000"/>
          <w:sz w:val="24"/>
          <w:szCs w:val="24"/>
          <w:lang w:val="en-US" w:eastAsia="zh-CN"/>
        </w:rPr>
        <w:t>职业健康和能源</w:t>
      </w:r>
      <w:r>
        <w:rPr>
          <w:rFonts w:hint="eastAsia" w:ascii="宋体" w:hAnsi="宋体" w:cs="新宋体"/>
          <w:color w:val="000000"/>
          <w:sz w:val="24"/>
          <w:szCs w:val="24"/>
        </w:rPr>
        <w:t>管理体系认证，目前</w:t>
      </w:r>
      <w:r>
        <w:rPr>
          <w:rFonts w:hint="eastAsia" w:ascii="宋体" w:hAnsi="宋体" w:cs="新宋体"/>
          <w:color w:val="000000"/>
          <w:sz w:val="24"/>
          <w:szCs w:val="24"/>
          <w:lang w:val="en-US" w:eastAsia="zh-CN"/>
        </w:rPr>
        <w:t>四大</w:t>
      </w:r>
      <w:r>
        <w:rPr>
          <w:rFonts w:hint="eastAsia" w:ascii="宋体" w:hAnsi="宋体" w:cs="新宋体"/>
          <w:color w:val="000000"/>
          <w:sz w:val="24"/>
          <w:szCs w:val="24"/>
        </w:rPr>
        <w:t>体系</w:t>
      </w:r>
      <w:r>
        <w:rPr>
          <w:rFonts w:hint="eastAsia" w:ascii="宋体" w:hAnsi="宋体" w:cs="新宋体"/>
          <w:color w:val="000000"/>
          <w:sz w:val="24"/>
          <w:szCs w:val="24"/>
          <w:lang w:val="en-US" w:eastAsia="zh-CN"/>
        </w:rPr>
        <w:t>均能</w:t>
      </w:r>
      <w:r>
        <w:rPr>
          <w:rFonts w:hint="eastAsia" w:ascii="宋体" w:hAnsi="宋体" w:cs="新宋体"/>
          <w:color w:val="000000"/>
          <w:sz w:val="24"/>
          <w:szCs w:val="24"/>
        </w:rPr>
        <w:t>有效运行。</w:t>
      </w:r>
    </w:p>
    <w:p w14:paraId="26A8F35A">
      <w:pPr>
        <w:spacing w:line="360" w:lineRule="auto"/>
        <w:ind w:firstLine="480" w:firstLineChars="2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4.在产品或服务质量负面信息或报道为0起。</w:t>
      </w:r>
    </w:p>
    <w:p w14:paraId="67D41E14">
      <w:pPr>
        <w:spacing w:line="360" w:lineRule="auto"/>
        <w:ind w:firstLine="482" w:firstLineChars="200"/>
        <w:jc w:val="left"/>
        <w:rPr>
          <w:rFonts w:ascii="宋体" w:hAnsi="宋体"/>
          <w:b/>
          <w:color w:val="000000"/>
          <w:sz w:val="24"/>
          <w:szCs w:val="24"/>
        </w:rPr>
      </w:pPr>
      <w:r>
        <w:rPr>
          <w:rFonts w:hint="eastAsia" w:ascii="宋体" w:hAnsi="宋体" w:cs="新宋体"/>
          <w:b/>
          <w:color w:val="000000"/>
          <w:sz w:val="24"/>
          <w:szCs w:val="24"/>
        </w:rPr>
        <w:t>四、对供应链伙伴的责任</w:t>
      </w:r>
    </w:p>
    <w:p w14:paraId="1BC74A22"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cs="新宋体"/>
          <w:sz w:val="24"/>
          <w:szCs w:val="24"/>
        </w:rPr>
        <w:t>1.维护企业产权人合法权益，平等对待所有产权人。</w:t>
      </w:r>
    </w:p>
    <w:p w14:paraId="5DAEF937"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cs="新宋体"/>
          <w:sz w:val="24"/>
          <w:szCs w:val="24"/>
        </w:rPr>
        <w:t>2.兑现债权人承诺，安排相应的债权人利益保障措施。</w:t>
      </w:r>
    </w:p>
    <w:p w14:paraId="484D56BB"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cs="新宋体"/>
          <w:sz w:val="24"/>
          <w:szCs w:val="24"/>
        </w:rPr>
        <w:t>3.采购责任制度及方针。采购负责人对供应商和采购产品的质量负责，按照</w:t>
      </w:r>
      <w:r>
        <w:rPr>
          <w:rFonts w:hint="eastAsia" w:ascii="宋体" w:hAnsi="宋体" w:cs="新宋体"/>
          <w:sz w:val="24"/>
          <w:szCs w:val="24"/>
          <w:lang w:val="en-US" w:eastAsia="zh-CN"/>
        </w:rPr>
        <w:t>物资申购流程</w:t>
      </w:r>
      <w:r>
        <w:rPr>
          <w:rFonts w:hint="eastAsia" w:ascii="宋体" w:hAnsi="宋体" w:cs="新宋体"/>
          <w:sz w:val="24"/>
          <w:szCs w:val="24"/>
        </w:rPr>
        <w:t>，</w:t>
      </w:r>
      <w:r>
        <w:rPr>
          <w:rFonts w:hint="eastAsia" w:ascii="宋体" w:hAnsi="宋体" w:cs="新宋体"/>
          <w:sz w:val="24"/>
          <w:szCs w:val="24"/>
          <w:lang w:val="en-US" w:eastAsia="zh-CN"/>
        </w:rPr>
        <w:t>经总经理线上线下审批后采购物资</w:t>
      </w:r>
      <w:r>
        <w:rPr>
          <w:rFonts w:hint="eastAsia" w:ascii="宋体" w:hAnsi="宋体" w:cs="新宋体"/>
          <w:sz w:val="24"/>
          <w:szCs w:val="24"/>
        </w:rPr>
        <w:t>。</w:t>
      </w:r>
    </w:p>
    <w:p w14:paraId="224C6370"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cs="新宋体"/>
          <w:sz w:val="24"/>
          <w:szCs w:val="24"/>
        </w:rPr>
        <w:t>4.保障供应商、分包商与客户经销商合法权益。公司严格按照采购合同对供应商进行付款，合法保障供应商的权益。跟供应商合作愉快，得到供应商的信任。</w:t>
      </w:r>
    </w:p>
    <w:p w14:paraId="6C6984E6">
      <w:pPr>
        <w:spacing w:line="360" w:lineRule="auto"/>
        <w:ind w:firstLine="482" w:firstLineChars="200"/>
        <w:jc w:val="left"/>
        <w:rPr>
          <w:rFonts w:ascii="宋体" w:hAnsi="宋体"/>
          <w:b/>
          <w:color w:val="000000"/>
          <w:sz w:val="24"/>
          <w:szCs w:val="24"/>
        </w:rPr>
      </w:pPr>
      <w:r>
        <w:rPr>
          <w:rFonts w:hint="eastAsia" w:ascii="宋体" w:hAnsi="宋体" w:cs="新宋体"/>
          <w:b/>
          <w:color w:val="000000"/>
          <w:sz w:val="24"/>
          <w:szCs w:val="24"/>
        </w:rPr>
        <w:t>五、承担诚信责任</w:t>
      </w:r>
    </w:p>
    <w:p w14:paraId="30B5E37B"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cs="新宋体"/>
          <w:sz w:val="24"/>
          <w:szCs w:val="24"/>
        </w:rPr>
        <w:t>1.守法诚信</w:t>
      </w:r>
    </w:p>
    <w:p w14:paraId="5A21E1FC"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cs="新宋体"/>
          <w:sz w:val="24"/>
          <w:szCs w:val="24"/>
        </w:rPr>
        <w:t>遵守法律法规和社会公德、商业道德以及行业规则。公司坚持依法经营，诚实守信。在经营中，模范遵守法律法规和社会公德、商业道德以及行业规则，及时足额纳税，忠实履行合同，恪守商业信用，反对不正当竞争；切实把好产品质量关和提高产品技术服务水平，努力为社会提供优质、安全、科学、可靠的产品技术服务，取得广大客户的信赖与认同；确保生产安全，努力为职工提供安全、健康、卫生的工作和生活环境，保障职工职业健康，遵守法律法规和社会公德、商业道德以及行业规则，无重大违法、违规的负面信息。</w:t>
      </w:r>
    </w:p>
    <w:p w14:paraId="16BEFFB7"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cs="新宋体"/>
          <w:sz w:val="24"/>
          <w:szCs w:val="24"/>
        </w:rPr>
        <w:t>反对不正当竞争，杜绝商业活动中的腐败行为。对外公司凭借一流的产品技术服务赢得客户满意，对内开展党风廉政建设活动，杜绝商业活动中的腐败行为。</w:t>
      </w:r>
    </w:p>
    <w:p w14:paraId="3836930A"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cs="新宋体"/>
          <w:sz w:val="24"/>
          <w:szCs w:val="24"/>
        </w:rPr>
        <w:t>2.诚信经营与服务。树立诚信经营的理念与保障诚信经营的制度。公司从道德范畴提高员工的诚信观念，宣传诚信对企业生存的重要意义以及对员工个人魅力提升的意义。从法律范畴对员工进行约束，不诚信的企业也必然不能遵纪守法。从监管方面促进企业诚信，包括合同履行的统计、顾客回访等。</w:t>
      </w:r>
    </w:p>
    <w:p w14:paraId="476955A8"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 w:cs="新宋体"/>
          <w:sz w:val="24"/>
          <w:szCs w:val="24"/>
        </w:rPr>
        <w:t>3.救灾与慈善捐助。开展救灾与慈善捐助活动情况。公司积极开展各项救灾与慈善捐助活动。</w:t>
      </w:r>
      <w:r>
        <w:rPr>
          <w:rFonts w:hint="eastAsia" w:ascii="宋体" w:hAnsi="宋体"/>
          <w:sz w:val="24"/>
          <w:szCs w:val="24"/>
        </w:rPr>
        <w:t>公司与地方慈善基金会签订捐赠协议，每年定期定向转账汇款，用于地方慈善事业建设。</w:t>
      </w:r>
      <w:r>
        <w:rPr>
          <w:rFonts w:hint="eastAsia" w:ascii="宋体" w:hAnsi="宋体" w:cs="新宋体"/>
          <w:sz w:val="24"/>
          <w:szCs w:val="24"/>
          <w:lang w:val="en-US" w:eastAsia="zh-CN"/>
        </w:rPr>
        <w:t>自2010年以来，公司想海安市慈善总会捐款70万元，向社会贫困人员捐款20余万元</w:t>
      </w:r>
      <w:r>
        <w:rPr>
          <w:rFonts w:hint="eastAsia" w:ascii="宋体" w:hAnsi="宋体"/>
          <w:sz w:val="24"/>
          <w:szCs w:val="24"/>
        </w:rPr>
        <w:t>。</w:t>
      </w:r>
      <w:r>
        <w:rPr>
          <w:rFonts w:hint="eastAsia" w:ascii="宋体" w:hAnsi="宋体"/>
          <w:sz w:val="24"/>
          <w:szCs w:val="24"/>
          <w:lang w:val="en-US" w:eastAsia="zh-CN"/>
        </w:rPr>
        <w:t>董事长</w:t>
      </w:r>
      <w:r>
        <w:rPr>
          <w:rFonts w:hint="eastAsia" w:ascii="宋体" w:hAnsi="宋体"/>
          <w:sz w:val="24"/>
          <w:szCs w:val="24"/>
        </w:rPr>
        <w:t>陆建军十分关心家乡的教育事业，关心青少年的发展成长。为此他积极与</w:t>
      </w:r>
      <w:r>
        <w:rPr>
          <w:rFonts w:hint="eastAsia" w:ascii="宋体" w:hAnsi="宋体"/>
          <w:sz w:val="24"/>
          <w:szCs w:val="24"/>
          <w:lang w:val="en-US" w:eastAsia="zh-CN"/>
        </w:rPr>
        <w:t>市</w:t>
      </w:r>
      <w:r>
        <w:rPr>
          <w:rFonts w:hint="eastAsia" w:ascii="宋体" w:hAnsi="宋体"/>
          <w:sz w:val="24"/>
          <w:szCs w:val="24"/>
        </w:rPr>
        <w:t>团委取得联系，捐助希望工程、资助贫困学生，将关怀与温暖送到孩子们的身边，公司也被授予“慈善之星企业”的荣誉称号。</w:t>
      </w:r>
      <w:r>
        <w:rPr>
          <w:rFonts w:hint="eastAsia" w:ascii="宋体" w:hAnsi="宋体"/>
          <w:sz w:val="24"/>
          <w:szCs w:val="24"/>
          <w:lang w:val="en-US" w:eastAsia="zh-CN"/>
        </w:rPr>
        <w:t>期间</w:t>
      </w:r>
      <w:r>
        <w:rPr>
          <w:rFonts w:hint="eastAsia" w:ascii="宋体" w:hAnsi="宋体"/>
          <w:sz w:val="24"/>
          <w:szCs w:val="24"/>
        </w:rPr>
        <w:t>还多次向消防、公安一线官兵送去慰问品和慰问金数万元，以对他们在社会和平、稳定建设中做出重要的贡献表示感谢。公司</w:t>
      </w:r>
      <w:r>
        <w:rPr>
          <w:rFonts w:hint="eastAsia" w:ascii="宋体" w:hAnsi="宋体"/>
          <w:sz w:val="24"/>
          <w:szCs w:val="24"/>
          <w:lang w:val="en-US" w:eastAsia="zh-CN"/>
        </w:rPr>
        <w:t>目前一百六十</w:t>
      </w:r>
      <w:r>
        <w:rPr>
          <w:rFonts w:hint="eastAsia" w:ascii="宋体" w:hAnsi="宋体"/>
          <w:sz w:val="24"/>
          <w:szCs w:val="24"/>
        </w:rPr>
        <w:t>余人，</w:t>
      </w:r>
      <w:r>
        <w:rPr>
          <w:rFonts w:hint="eastAsia" w:ascii="宋体" w:hAnsi="宋体"/>
          <w:sz w:val="24"/>
          <w:szCs w:val="24"/>
          <w:lang w:val="en-US" w:eastAsia="zh-CN"/>
        </w:rPr>
        <w:t>陆建军</w:t>
      </w:r>
      <w:r>
        <w:rPr>
          <w:rFonts w:hint="eastAsia" w:ascii="宋体" w:hAnsi="宋体"/>
          <w:sz w:val="24"/>
          <w:szCs w:val="24"/>
        </w:rPr>
        <w:t>把员工当亲人，总是亲自关心员工各项福利是否发放，考虑每年员工去哪里旅游，不惜代价上马设备，以改善现场员工工作环境，减轻员工劳动强度。连年向工会注入资金，多次亲自探望困难家庭，多次义务献血。公司员工在他的号召和带领下，形成了互帮互助、团结友爱的文化氛围，员工多次响应工会号召，向公司及社会困难家庭捐救助款16000余元，公司员工像兄弟姐妹一样紧密团结，被评为“爱心企业”“模范和谐企业”等荣誉称号。</w:t>
      </w:r>
    </w:p>
    <w:p w14:paraId="4870E677"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  <w:r>
        <w:rPr>
          <w:rFonts w:hint="eastAsia" w:ascii="宋体" w:hAnsi="宋体" w:cs="新宋体"/>
          <w:b/>
          <w:color w:val="000000"/>
          <w:sz w:val="24"/>
          <w:szCs w:val="24"/>
        </w:rPr>
        <w:t>六、成立工会</w:t>
      </w:r>
    </w:p>
    <w:p w14:paraId="7344ECF3">
      <w:pPr>
        <w:spacing w:line="360" w:lineRule="auto"/>
        <w:ind w:firstLine="480" w:firstLineChars="200"/>
        <w:jc w:val="left"/>
        <w:rPr>
          <w:rFonts w:ascii="宋体" w:hAnsi="宋体" w:cs="新宋体"/>
          <w:sz w:val="24"/>
          <w:szCs w:val="24"/>
        </w:rPr>
      </w:pPr>
      <w:r>
        <w:rPr>
          <w:rFonts w:hint="eastAsia" w:ascii="宋体" w:hAnsi="宋体" w:cs="新宋体"/>
          <w:sz w:val="24"/>
          <w:szCs w:val="24"/>
        </w:rPr>
        <w:t>公司为推进工会建设和提升员工福利和丰富员工业余生活，</w:t>
      </w:r>
      <w:r>
        <w:rPr>
          <w:rFonts w:hint="eastAsia" w:ascii="宋体" w:hAnsi="宋体" w:cs="新宋体"/>
          <w:color w:val="000000"/>
          <w:sz w:val="24"/>
          <w:szCs w:val="24"/>
          <w:lang w:val="en-US" w:eastAsia="zh-CN"/>
        </w:rPr>
        <w:t>成立了</w:t>
      </w:r>
      <w:r>
        <w:rPr>
          <w:rFonts w:hint="eastAsia" w:ascii="宋体" w:hAnsi="宋体" w:cs="新宋体"/>
          <w:sz w:val="24"/>
          <w:szCs w:val="24"/>
        </w:rPr>
        <w:t>工会委员会；合理设置了组织结构、会员条件与义务和福利；至目前公司所有员工自愿加入了工会；这对于建立稳定和谐的劳动关系，维护职工合法权益至关重要，同时也推动了公司的企业文化建设。</w:t>
      </w:r>
    </w:p>
    <w:p w14:paraId="3C476B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8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1）稳定的员工队伍：</w:t>
      </w:r>
      <w:r>
        <w:rPr>
          <w:rFonts w:hint="eastAsia" w:ascii="宋体" w:hAnsi="宋体"/>
          <w:sz w:val="24"/>
          <w:szCs w:val="24"/>
          <w:lang w:val="en-US" w:eastAsia="zh-CN"/>
        </w:rPr>
        <w:t>公司</w:t>
      </w:r>
      <w:r>
        <w:rPr>
          <w:rFonts w:hint="eastAsia" w:ascii="宋体" w:hAnsi="宋体"/>
          <w:sz w:val="24"/>
          <w:szCs w:val="24"/>
        </w:rPr>
        <w:t>拥有</w:t>
      </w:r>
      <w:r>
        <w:rPr>
          <w:rFonts w:hint="eastAsia" w:ascii="宋体" w:hAnsi="宋体"/>
          <w:sz w:val="24"/>
          <w:szCs w:val="24"/>
          <w:lang w:val="en-US" w:eastAsia="zh-CN"/>
        </w:rPr>
        <w:t>一百六十余</w:t>
      </w:r>
      <w:r>
        <w:rPr>
          <w:rFonts w:hint="eastAsia" w:ascii="宋体" w:hAnsi="宋体"/>
          <w:sz w:val="24"/>
          <w:szCs w:val="24"/>
        </w:rPr>
        <w:t>名员工，工龄</w:t>
      </w:r>
      <w:r>
        <w:rPr>
          <w:rFonts w:hint="eastAsia" w:ascii="宋体" w:hAnsi="宋体"/>
          <w:sz w:val="24"/>
          <w:szCs w:val="24"/>
          <w:lang w:val="en-US" w:eastAsia="zh-CN"/>
        </w:rPr>
        <w:t>10</w:t>
      </w:r>
      <w:r>
        <w:rPr>
          <w:rFonts w:hint="eastAsia" w:ascii="宋体" w:hAnsi="宋体"/>
          <w:sz w:val="24"/>
          <w:szCs w:val="24"/>
        </w:rPr>
        <w:t>年以上的老员工占比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5%。</w:t>
      </w:r>
    </w:p>
    <w:p w14:paraId="00802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公司为员工提供一日三餐，根据季节修改食谱</w:t>
      </w:r>
      <w:r>
        <w:rPr>
          <w:rFonts w:hint="eastAsia" w:ascii="宋体" w:hAnsi="宋体"/>
          <w:sz w:val="24"/>
          <w:szCs w:val="24"/>
        </w:rPr>
        <w:t>。稳定的员工队伍，为企业发展营造了良好的环境。</w:t>
      </w:r>
    </w:p>
    <w:p w14:paraId="769DAC38"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2）卓越绩效管理：</w:t>
      </w:r>
      <w:r>
        <w:rPr>
          <w:rFonts w:hint="eastAsia" w:ascii="宋体" w:hAnsi="宋体"/>
          <w:sz w:val="24"/>
          <w:szCs w:val="24"/>
          <w:lang w:val="en-US" w:eastAsia="zh-CN"/>
        </w:rPr>
        <w:t>公司制定员工绩效考核制度，根据员工实际操作和理论水平，完善技能奖励</w:t>
      </w:r>
      <w:r>
        <w:rPr>
          <w:rFonts w:hint="eastAsia" w:ascii="宋体" w:hAnsi="宋体"/>
          <w:sz w:val="24"/>
          <w:szCs w:val="24"/>
        </w:rPr>
        <w:t>。</w:t>
      </w:r>
      <w:r>
        <w:rPr>
          <w:rFonts w:hint="eastAsia" w:ascii="宋体" w:hAnsi="宋体"/>
          <w:sz w:val="24"/>
          <w:szCs w:val="24"/>
          <w:lang w:val="en-US" w:eastAsia="zh-CN"/>
        </w:rPr>
        <w:t>根据生产能耗，设立能耗奖。根据员工工作实际和评价，评比年度绩优奖人员和季度绩优奖人员。额外还有科技创新奖、产品荣誉奖、金点子奖等等。</w:t>
      </w:r>
      <w:r>
        <w:rPr>
          <w:rFonts w:hint="eastAsia" w:ascii="宋体" w:hAnsi="宋体"/>
          <w:b/>
          <w:sz w:val="24"/>
          <w:szCs w:val="24"/>
        </w:rPr>
        <w:t xml:space="preserve">                   </w:t>
      </w:r>
    </w:p>
    <w:p w14:paraId="3F8B2C03">
      <w:pPr>
        <w:spacing w:line="360" w:lineRule="auto"/>
        <w:ind w:firstLine="48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b/>
          <w:sz w:val="24"/>
          <w:szCs w:val="24"/>
        </w:rPr>
        <w:t>）技术创新：</w:t>
      </w:r>
      <w:r>
        <w:rPr>
          <w:rFonts w:hint="eastAsia" w:ascii="宋体" w:hAnsi="宋体"/>
          <w:sz w:val="24"/>
          <w:szCs w:val="24"/>
        </w:rPr>
        <w:t>“十三五”规划以来，公司持续秉承“创新进取，追求卓越”的企业精神，充分认识到高质量和绿色发展的深刻内涵，通过提升公司管理、扩大生产规模；改革创新、调整产品结构；转型升级、提升产品档次，成功实现了企业总量扩张和品牌打造。</w:t>
      </w:r>
    </w:p>
    <w:p w14:paraId="4CD03D9A"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  <w:r>
        <w:rPr>
          <w:rFonts w:hint="eastAsia" w:ascii="宋体" w:hAnsi="宋体" w:cs="新宋体"/>
          <w:b/>
          <w:color w:val="000000"/>
          <w:sz w:val="24"/>
          <w:szCs w:val="24"/>
        </w:rPr>
        <w:t>七、担负环保、职业健康安全责任</w:t>
      </w:r>
    </w:p>
    <w:p w14:paraId="63CC741E">
      <w:pPr>
        <w:spacing w:line="360" w:lineRule="auto"/>
        <w:ind w:firstLine="480" w:firstLineChars="2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1.环境管理方面</w:t>
      </w:r>
    </w:p>
    <w:p w14:paraId="539AE54C">
      <w:pPr>
        <w:spacing w:line="360" w:lineRule="auto"/>
        <w:ind w:firstLine="480" w:firstLineChars="200"/>
        <w:jc w:val="left"/>
        <w:rPr>
          <w:rFonts w:hint="eastAsia" w:ascii="宋体" w:hAnsi="宋体" w:cs="新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康桥公司建立了环境管理体系，并保持正常有效运行。国家的环境法律法规得到及时更新，并将相关要求融入到公司环保管理制度中。公司办理了《排放污染物许可证》，并定期进行三废监测。</w:t>
      </w:r>
    </w:p>
    <w:p w14:paraId="70D7ADE2">
      <w:pPr>
        <w:spacing w:line="360" w:lineRule="auto"/>
        <w:ind w:firstLine="480" w:firstLineChars="2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建立健全了各项环保设备设施，并确保所有设备设施得到正常有效运行。</w:t>
      </w:r>
    </w:p>
    <w:p w14:paraId="7A85F9D6">
      <w:pPr>
        <w:spacing w:line="360" w:lineRule="auto"/>
        <w:ind w:firstLine="480" w:firstLineChars="2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按照法律法规要求进行了环境影响评价，编制了环保应急预案，并定期组织演练。</w:t>
      </w:r>
    </w:p>
    <w:p w14:paraId="02F72FD4">
      <w:pPr>
        <w:spacing w:line="360" w:lineRule="auto"/>
        <w:ind w:firstLine="480" w:firstLineChars="200"/>
        <w:jc w:val="left"/>
        <w:rPr>
          <w:rFonts w:ascii="宋体" w:hAnsi="宋体" w:cs="新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从建厂至今无环保违规负面信息。</w:t>
      </w:r>
    </w:p>
    <w:tbl>
      <w:tblPr>
        <w:tblStyle w:val="5"/>
        <w:tblW w:w="9180" w:type="dxa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6" w:space="0"/>
          <w:insideV w:val="single" w:color="FFFFFF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243"/>
        <w:gridCol w:w="4117"/>
        <w:gridCol w:w="2368"/>
      </w:tblGrid>
      <w:tr w14:paraId="19B9CA7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auto" w:sz="8" w:space="0"/>
            </w:tcBorders>
            <w:shd w:val="clear" w:color="auto" w:fill="4F81BD"/>
          </w:tcPr>
          <w:p w14:paraId="4DF954CC">
            <w:pPr>
              <w:spacing w:after="120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类别</w:t>
            </w:r>
          </w:p>
        </w:tc>
        <w:tc>
          <w:tcPr>
            <w:tcW w:w="1243" w:type="dxa"/>
            <w:tcBorders>
              <w:top w:val="single" w:color="FFFFFF" w:sz="8" w:space="0"/>
              <w:left w:val="single" w:color="auto" w:sz="8" w:space="0"/>
              <w:bottom w:val="single" w:color="FFFFFF" w:sz="24" w:space="0"/>
              <w:right w:val="single" w:color="auto" w:sz="8" w:space="0"/>
            </w:tcBorders>
            <w:shd w:val="clear" w:color="auto" w:fill="4F81BD"/>
          </w:tcPr>
          <w:p w14:paraId="093EF92E">
            <w:pPr>
              <w:spacing w:after="120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配置</w:t>
            </w:r>
          </w:p>
        </w:tc>
        <w:tc>
          <w:tcPr>
            <w:tcW w:w="4117" w:type="dxa"/>
            <w:tcBorders>
              <w:top w:val="single" w:color="FFFFFF" w:sz="8" w:space="0"/>
              <w:left w:val="single" w:color="auto" w:sz="8" w:space="0"/>
              <w:bottom w:val="single" w:color="FFFFFF" w:sz="24" w:space="0"/>
              <w:right w:val="single" w:color="auto" w:sz="8" w:space="0"/>
            </w:tcBorders>
            <w:shd w:val="clear" w:color="auto" w:fill="4F81BD"/>
          </w:tcPr>
          <w:p w14:paraId="7DD91F1C">
            <w:pPr>
              <w:spacing w:after="120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处置方法</w:t>
            </w:r>
          </w:p>
        </w:tc>
        <w:tc>
          <w:tcPr>
            <w:tcW w:w="2368" w:type="dxa"/>
            <w:tcBorders>
              <w:top w:val="single" w:color="FFFFFF" w:sz="8" w:space="0"/>
              <w:left w:val="single" w:color="auto" w:sz="8" w:space="0"/>
              <w:bottom w:val="single" w:color="FFFFFF" w:sz="24" w:space="0"/>
              <w:right w:val="single" w:color="FFFFFF" w:sz="8" w:space="0"/>
            </w:tcBorders>
            <w:shd w:val="clear" w:color="auto" w:fill="4F81BD"/>
          </w:tcPr>
          <w:p w14:paraId="7BD4224A">
            <w:pPr>
              <w:spacing w:after="120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标准</w:t>
            </w:r>
          </w:p>
        </w:tc>
      </w:tr>
      <w:tr w14:paraId="787BB74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  <w:shd w:val="clear" w:color="auto" w:fill="D3DFEE"/>
          </w:tcPr>
          <w:p w14:paraId="3356C8AB">
            <w:pPr>
              <w:spacing w:after="12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水污染防治</w:t>
            </w:r>
          </w:p>
        </w:tc>
        <w:tc>
          <w:tcPr>
            <w:tcW w:w="1243" w:type="dxa"/>
            <w:shd w:val="clear" w:color="auto" w:fill="D3DFEE"/>
          </w:tcPr>
          <w:p w14:paraId="3DFFF364">
            <w:pPr>
              <w:spacing w:after="12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污水处理装置</w:t>
            </w:r>
          </w:p>
        </w:tc>
        <w:tc>
          <w:tcPr>
            <w:tcW w:w="4117" w:type="dxa"/>
            <w:shd w:val="clear" w:color="auto" w:fill="D3DFEE"/>
          </w:tcPr>
          <w:p w14:paraId="097ABA52">
            <w:pPr>
              <w:spacing w:after="12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每天进行监测，处理后的污水通过中水回用处理，近70%的水量得到回用，其它送至污水处理厂</w:t>
            </w:r>
          </w:p>
        </w:tc>
        <w:tc>
          <w:tcPr>
            <w:tcW w:w="2368" w:type="dxa"/>
            <w:shd w:val="clear" w:color="auto" w:fill="D3DFEE"/>
          </w:tcPr>
          <w:p w14:paraId="3C7ED97F">
            <w:pPr>
              <w:spacing w:after="12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排放指标远远低于污水处理厂接收标准</w:t>
            </w:r>
          </w:p>
        </w:tc>
      </w:tr>
      <w:tr w14:paraId="39FEE82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  <w:shd w:val="clear" w:color="auto" w:fill="D3DFEE"/>
          </w:tcPr>
          <w:p w14:paraId="678ACBF7">
            <w:pPr>
              <w:spacing w:after="12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固废处置</w:t>
            </w:r>
          </w:p>
        </w:tc>
        <w:tc>
          <w:tcPr>
            <w:tcW w:w="1243" w:type="dxa"/>
            <w:shd w:val="clear" w:color="auto" w:fill="D3DFEE"/>
          </w:tcPr>
          <w:p w14:paraId="0B208DA4">
            <w:pPr>
              <w:spacing w:after="12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危废品仓库</w:t>
            </w:r>
          </w:p>
        </w:tc>
        <w:tc>
          <w:tcPr>
            <w:tcW w:w="4117" w:type="dxa"/>
            <w:shd w:val="clear" w:color="auto" w:fill="D3DFEE"/>
          </w:tcPr>
          <w:p w14:paraId="116F846F">
            <w:pPr>
              <w:spacing w:after="12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依据《固体废物污染环境防治管理规程》，固废统一存放于危废品仓库进行分区存放，后交予有资质单位进行回收、处置</w:t>
            </w:r>
          </w:p>
        </w:tc>
        <w:tc>
          <w:tcPr>
            <w:tcW w:w="2368" w:type="dxa"/>
            <w:shd w:val="clear" w:color="auto" w:fill="D3DFEE"/>
          </w:tcPr>
          <w:p w14:paraId="5B2E792C">
            <w:pPr>
              <w:spacing w:after="12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固废处置率</w:t>
            </w:r>
            <w:r>
              <w:rPr>
                <w:rFonts w:ascii="宋体" w:hAnsi="宋体"/>
                <w:sz w:val="24"/>
                <w:szCs w:val="24"/>
              </w:rPr>
              <w:t>100%</w:t>
            </w:r>
          </w:p>
        </w:tc>
      </w:tr>
      <w:tr w14:paraId="4D2401E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452" w:type="dxa"/>
            <w:shd w:val="clear" w:color="auto" w:fill="D3DFEE"/>
          </w:tcPr>
          <w:p w14:paraId="70D7387C">
            <w:pPr>
              <w:spacing w:after="12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废气处置</w:t>
            </w:r>
          </w:p>
        </w:tc>
        <w:tc>
          <w:tcPr>
            <w:tcW w:w="1243" w:type="dxa"/>
            <w:shd w:val="clear" w:color="auto" w:fill="D3DFEE"/>
          </w:tcPr>
          <w:p w14:paraId="7F7B5A83">
            <w:pPr>
              <w:spacing w:after="12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洗涤预处理装置、废气催化裂解处理装置</w:t>
            </w:r>
          </w:p>
        </w:tc>
        <w:tc>
          <w:tcPr>
            <w:tcW w:w="4117" w:type="dxa"/>
            <w:shd w:val="clear" w:color="auto" w:fill="D3DFEE"/>
          </w:tcPr>
          <w:p w14:paraId="534F2502">
            <w:pPr>
              <w:spacing w:after="12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严格按废气处理的编制操作规程进行操作，定期对运行数据检测，定期对处理装置进行清洗、维护保养</w:t>
            </w:r>
          </w:p>
        </w:tc>
        <w:tc>
          <w:tcPr>
            <w:tcW w:w="2368" w:type="dxa"/>
            <w:shd w:val="clear" w:color="auto" w:fill="D3DFEE"/>
          </w:tcPr>
          <w:p w14:paraId="40F08CA6">
            <w:pPr>
              <w:spacing w:after="12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符合排放标准</w:t>
            </w:r>
          </w:p>
        </w:tc>
      </w:tr>
    </w:tbl>
    <w:p w14:paraId="5FBB058A">
      <w:pPr>
        <w:spacing w:line="360" w:lineRule="auto"/>
        <w:ind w:firstLine="480" w:firstLineChars="2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2.职业健康安全方面</w:t>
      </w:r>
    </w:p>
    <w:p w14:paraId="0A395CBD">
      <w:pPr>
        <w:spacing w:line="360" w:lineRule="auto"/>
        <w:ind w:firstLine="480" w:firstLineChars="200"/>
        <w:jc w:val="left"/>
        <w:rPr>
          <w:rFonts w:hint="eastAsia" w:ascii="宋体" w:hAnsi="宋体" w:cs="新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康桥公司建立了职业健康安全管理体系，并保证其正常有效运行。</w:t>
      </w:r>
    </w:p>
    <w:p w14:paraId="50E12923">
      <w:pPr>
        <w:spacing w:line="360" w:lineRule="auto"/>
        <w:ind w:firstLine="480" w:firstLineChars="2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严格遵守职业健康安全相关法律法规要求，按时发放劳动保护用品，对普通岗位和存在职业病危害的岗位进行定期职业病体检，进行职业健康危害申报。</w:t>
      </w:r>
    </w:p>
    <w:p w14:paraId="6A6CEFBA">
      <w:pPr>
        <w:spacing w:line="360" w:lineRule="auto"/>
        <w:ind w:firstLine="480" w:firstLineChars="2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公司通过国家安全生产标准化二级企业审定，取得了安全生产标准化二级企业的证书。</w:t>
      </w:r>
    </w:p>
    <w:p w14:paraId="0711FDE4">
      <w:pPr>
        <w:spacing w:line="360" w:lineRule="auto"/>
        <w:ind w:firstLine="480" w:firstLineChars="2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每年制定的职业健康安全培训计划并全部实施，员工安全意识进一步得到了加强。</w:t>
      </w:r>
    </w:p>
    <w:p w14:paraId="2EC9783F">
      <w:pPr>
        <w:spacing w:line="360" w:lineRule="auto"/>
        <w:ind w:firstLine="480" w:firstLineChars="2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从建厂至今无职业健康安全违规负面信息。</w:t>
      </w:r>
    </w:p>
    <w:p w14:paraId="05C20FB5">
      <w:pPr>
        <w:spacing w:line="360" w:lineRule="auto"/>
        <w:ind w:firstLine="480" w:firstLineChars="2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各种特种设备全部通过年检。</w:t>
      </w:r>
    </w:p>
    <w:p w14:paraId="14E0D641">
      <w:pPr>
        <w:spacing w:line="360" w:lineRule="auto"/>
        <w:ind w:firstLine="480" w:firstLineChars="200"/>
        <w:jc w:val="left"/>
        <w:rPr>
          <w:rFonts w:hint="eastAsia" w:ascii="宋体" w:hAnsi="宋体" w:eastAsia="宋体" w:cs="新宋体"/>
          <w:color w:val="auto"/>
          <w:sz w:val="24"/>
          <w:szCs w:val="24"/>
          <w:lang w:eastAsia="zh-CN"/>
        </w:rPr>
      </w:pPr>
      <w:r>
        <w:rPr>
          <w:rFonts w:hint="eastAsia" w:ascii="宋体" w:hAnsi="宋体" w:cs="新宋体"/>
          <w:color w:val="auto"/>
          <w:sz w:val="24"/>
          <w:szCs w:val="24"/>
          <w:lang w:val="en-US" w:eastAsia="zh-CN"/>
        </w:rPr>
        <w:t>2023</w:t>
      </w:r>
      <w:r>
        <w:rPr>
          <w:rFonts w:hint="eastAsia" w:ascii="宋体" w:hAnsi="宋体" w:cs="新宋体"/>
          <w:color w:val="auto"/>
          <w:sz w:val="24"/>
          <w:szCs w:val="24"/>
        </w:rPr>
        <w:t>年安全生产和环保资金投入情况</w:t>
      </w:r>
      <w:r>
        <w:rPr>
          <w:rFonts w:hint="eastAsia" w:ascii="宋体" w:hAnsi="宋体" w:cs="新宋体"/>
          <w:color w:val="auto"/>
          <w:sz w:val="24"/>
          <w:szCs w:val="24"/>
          <w:lang w:eastAsia="zh-CN"/>
        </w:rPr>
        <w:t>：</w:t>
      </w:r>
      <w:r>
        <w:rPr>
          <w:rFonts w:hint="eastAsia" w:ascii="宋体" w:hAnsi="宋体" w:cs="新宋体"/>
          <w:color w:val="auto"/>
          <w:sz w:val="24"/>
          <w:szCs w:val="24"/>
        </w:rPr>
        <w:t>202</w:t>
      </w:r>
      <w:r>
        <w:rPr>
          <w:rFonts w:hint="eastAsia" w:ascii="宋体" w:hAnsi="宋体" w:cs="新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cs="新宋体"/>
          <w:color w:val="auto"/>
          <w:sz w:val="24"/>
          <w:szCs w:val="24"/>
        </w:rPr>
        <w:t>年总共投入安全费用</w:t>
      </w:r>
      <w:r>
        <w:rPr>
          <w:rFonts w:hint="eastAsia" w:ascii="宋体" w:hAnsi="宋体" w:cs="新宋体"/>
          <w:color w:val="auto"/>
          <w:sz w:val="24"/>
          <w:szCs w:val="24"/>
          <w:lang w:val="en-US" w:eastAsia="zh-CN"/>
        </w:rPr>
        <w:t>144.07</w:t>
      </w:r>
      <w:r>
        <w:rPr>
          <w:rFonts w:hint="eastAsia" w:ascii="宋体" w:hAnsi="宋体" w:cs="新宋体"/>
          <w:color w:val="auto"/>
          <w:sz w:val="24"/>
          <w:szCs w:val="24"/>
        </w:rPr>
        <w:t>万元</w:t>
      </w:r>
      <w:r>
        <w:rPr>
          <w:rFonts w:hint="eastAsia" w:ascii="宋体" w:hAnsi="宋体" w:cs="新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cs="新宋体"/>
          <w:color w:val="auto"/>
          <w:sz w:val="24"/>
          <w:szCs w:val="24"/>
        </w:rPr>
        <w:t>环保费用</w:t>
      </w:r>
      <w:r>
        <w:rPr>
          <w:rFonts w:hint="eastAsia" w:ascii="宋体" w:hAnsi="宋体" w:cs="新宋体"/>
          <w:color w:val="auto"/>
          <w:sz w:val="24"/>
          <w:szCs w:val="24"/>
          <w:lang w:val="en-US" w:eastAsia="zh-CN"/>
        </w:rPr>
        <w:t>275.97</w:t>
      </w:r>
      <w:r>
        <w:rPr>
          <w:rFonts w:hint="eastAsia" w:ascii="宋体" w:hAnsi="宋体" w:cs="新宋体"/>
          <w:color w:val="auto"/>
          <w:sz w:val="24"/>
          <w:szCs w:val="24"/>
        </w:rPr>
        <w:t>万元</w:t>
      </w:r>
      <w:r>
        <w:rPr>
          <w:rFonts w:hint="eastAsia" w:ascii="宋体" w:hAnsi="宋体" w:cs="新宋体"/>
          <w:color w:val="auto"/>
          <w:sz w:val="24"/>
          <w:szCs w:val="24"/>
          <w:lang w:eastAsia="zh-CN"/>
        </w:rPr>
        <w:t>。</w:t>
      </w:r>
    </w:p>
    <w:p w14:paraId="1FB2282B">
      <w:pPr>
        <w:spacing w:line="360" w:lineRule="auto"/>
        <w:ind w:firstLine="480" w:firstLineChars="200"/>
        <w:jc w:val="left"/>
        <w:rPr>
          <w:rFonts w:ascii="宋体" w:hAnsi="宋体" w:cs="新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4.开展职业健康安全管理活动。为不断强化公司广大员工对安全生产工作的思想认识，提高公司安全管理水平，增强广大职工的安全生产意识和自我保护能力，和加强全公司的</w:t>
      </w:r>
      <w:r>
        <w:rPr>
          <w:rFonts w:hint="eastAsia" w:ascii="宋体" w:hAnsi="宋体" w:cs="新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安全防范意识，坚决杜绝事故发生，确保公司科学发展、安全发展；公司在20</w:t>
      </w:r>
      <w:r>
        <w:rPr>
          <w:rFonts w:hint="eastAsia" w:ascii="宋体" w:hAnsi="宋体" w:cs="新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宋体" w:hAnsi="宋体" w:cs="新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年6月份开展了包括应急救援综合预防演练、网络知识竞赛答题、安全培训及安全知识竞赛等一系列</w:t>
      </w:r>
      <w:r>
        <w:rPr>
          <w:rFonts w:hint="eastAsia" w:ascii="宋体" w:hAnsi="宋体" w:cs="新宋体"/>
          <w:color w:val="000000"/>
          <w:sz w:val="24"/>
          <w:szCs w:val="24"/>
        </w:rPr>
        <w:t>活动，通过</w:t>
      </w:r>
      <w:r>
        <w:rPr>
          <w:rFonts w:hint="eastAsia" w:ascii="宋体" w:hAnsi="宋体" w:cs="新宋体"/>
          <w:color w:val="000000"/>
          <w:sz w:val="24"/>
          <w:szCs w:val="24"/>
          <w:lang w:val="en-US" w:eastAsia="zh-CN"/>
        </w:rPr>
        <w:t>灌输</w:t>
      </w:r>
      <w:r>
        <w:rPr>
          <w:rFonts w:hint="eastAsia" w:ascii="宋体" w:hAnsi="宋体" w:cs="新宋体"/>
          <w:color w:val="000000"/>
          <w:sz w:val="24"/>
          <w:szCs w:val="24"/>
        </w:rPr>
        <w:t>与亲身体验等方式，努力营造“安全第一、预防为主”的浓厚安全文化氛围。</w:t>
      </w:r>
    </w:p>
    <w:p w14:paraId="27E0A484">
      <w:pPr>
        <w:spacing w:line="360" w:lineRule="auto"/>
        <w:ind w:firstLine="480" w:firstLineChars="200"/>
        <w:jc w:val="left"/>
        <w:rPr>
          <w:rFonts w:ascii="宋体" w:hAnsi="宋体" w:cs="新宋体"/>
          <w:color w:val="000000"/>
          <w:sz w:val="24"/>
          <w:szCs w:val="24"/>
        </w:rPr>
      </w:pPr>
    </w:p>
    <w:tbl>
      <w:tblPr>
        <w:tblStyle w:val="5"/>
        <w:tblW w:w="9180" w:type="dxa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6" w:space="0"/>
          <w:insideV w:val="single" w:color="FFFFFF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107"/>
        <w:gridCol w:w="2538"/>
        <w:gridCol w:w="3036"/>
        <w:gridCol w:w="1783"/>
      </w:tblGrid>
      <w:tr w14:paraId="7D40AD3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716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auto" w:sz="8" w:space="0"/>
            </w:tcBorders>
            <w:shd w:val="clear" w:color="auto" w:fill="4F81BD"/>
          </w:tcPr>
          <w:p w14:paraId="7FA2BA89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控制对象</w:t>
            </w:r>
          </w:p>
        </w:tc>
        <w:tc>
          <w:tcPr>
            <w:tcW w:w="1107" w:type="dxa"/>
            <w:tcBorders>
              <w:top w:val="single" w:color="FFFFFF" w:sz="8" w:space="0"/>
              <w:left w:val="single" w:color="auto" w:sz="8" w:space="0"/>
              <w:bottom w:val="single" w:color="FFFFFF" w:sz="24" w:space="0"/>
              <w:right w:val="single" w:color="auto" w:sz="8" w:space="0"/>
            </w:tcBorders>
            <w:shd w:val="clear" w:color="auto" w:fill="4F81BD"/>
          </w:tcPr>
          <w:p w14:paraId="071929E0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控制项目</w:t>
            </w:r>
          </w:p>
        </w:tc>
        <w:tc>
          <w:tcPr>
            <w:tcW w:w="2538" w:type="dxa"/>
            <w:tcBorders>
              <w:top w:val="single" w:color="FFFFFF" w:sz="8" w:space="0"/>
              <w:left w:val="single" w:color="auto" w:sz="8" w:space="0"/>
              <w:bottom w:val="single" w:color="FFFFFF" w:sz="24" w:space="0"/>
              <w:right w:val="single" w:color="auto" w:sz="8" w:space="0"/>
            </w:tcBorders>
            <w:shd w:val="clear" w:color="auto" w:fill="4F81BD"/>
          </w:tcPr>
          <w:p w14:paraId="3F8E3111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关键控制过程</w:t>
            </w:r>
          </w:p>
        </w:tc>
        <w:tc>
          <w:tcPr>
            <w:tcW w:w="3036" w:type="dxa"/>
            <w:tcBorders>
              <w:top w:val="single" w:color="FFFFFF" w:sz="8" w:space="0"/>
              <w:left w:val="single" w:color="auto" w:sz="8" w:space="0"/>
              <w:bottom w:val="single" w:color="FFFFFF" w:sz="24" w:space="0"/>
              <w:right w:val="single" w:color="auto" w:sz="8" w:space="0"/>
            </w:tcBorders>
            <w:shd w:val="clear" w:color="auto" w:fill="4F81BD"/>
          </w:tcPr>
          <w:p w14:paraId="76DB67D1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监测方法及频次</w:t>
            </w:r>
          </w:p>
        </w:tc>
        <w:tc>
          <w:tcPr>
            <w:tcW w:w="1783" w:type="dxa"/>
            <w:tcBorders>
              <w:top w:val="single" w:color="FFFFFF" w:sz="8" w:space="0"/>
              <w:left w:val="single" w:color="auto" w:sz="8" w:space="0"/>
              <w:bottom w:val="single" w:color="FFFFFF" w:sz="24" w:space="0"/>
              <w:right w:val="single" w:color="FFFFFF" w:sz="8" w:space="0"/>
            </w:tcBorders>
            <w:shd w:val="clear" w:color="auto" w:fill="4F81BD"/>
          </w:tcPr>
          <w:p w14:paraId="343F7BF9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目标</w:t>
            </w:r>
          </w:p>
        </w:tc>
      </w:tr>
      <w:tr w14:paraId="154A012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716" w:type="dxa"/>
            <w:shd w:val="clear" w:color="auto" w:fill="D3DFEE"/>
          </w:tcPr>
          <w:p w14:paraId="1B3FA689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生产安全</w:t>
            </w:r>
          </w:p>
        </w:tc>
        <w:tc>
          <w:tcPr>
            <w:tcW w:w="1107" w:type="dxa"/>
            <w:shd w:val="clear" w:color="auto" w:fill="D3DFEE"/>
          </w:tcPr>
          <w:p w14:paraId="5D67F364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安全生产事故</w:t>
            </w:r>
          </w:p>
        </w:tc>
        <w:tc>
          <w:tcPr>
            <w:tcW w:w="2538" w:type="dxa"/>
            <w:shd w:val="clear" w:color="auto" w:fill="D3DFEE"/>
          </w:tcPr>
          <w:p w14:paraId="37AD417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、不断强化安全生产责任制；</w:t>
            </w:r>
          </w:p>
          <w:p w14:paraId="43ECD5D6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sz w:val="24"/>
                <w:szCs w:val="24"/>
              </w:rPr>
              <w:t>、建立健全安全生产管理制度；</w:t>
            </w:r>
          </w:p>
          <w:p w14:paraId="4BE460C9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sz w:val="24"/>
                <w:szCs w:val="24"/>
              </w:rPr>
              <w:t>、加强风险辨识管控；</w:t>
            </w:r>
          </w:p>
          <w:p w14:paraId="218D2C9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  <w:r>
              <w:rPr>
                <w:rFonts w:hint="eastAsia" w:ascii="宋体" w:hAnsi="宋体"/>
                <w:sz w:val="24"/>
                <w:szCs w:val="24"/>
              </w:rPr>
              <w:t>、强化动火等特种作业规范性管理；</w:t>
            </w:r>
          </w:p>
          <w:p w14:paraId="43650D9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</w:t>
            </w:r>
            <w:r>
              <w:rPr>
                <w:rFonts w:hint="eastAsia" w:ascii="宋体" w:hAnsi="宋体"/>
                <w:sz w:val="24"/>
                <w:szCs w:val="24"/>
              </w:rPr>
              <w:t>、研究安全教育培训与宣传的工作思路，提升培训教育实效；</w:t>
            </w:r>
          </w:p>
          <w:p w14:paraId="43B48B59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6</w:t>
            </w:r>
            <w:r>
              <w:rPr>
                <w:rFonts w:hint="eastAsia" w:ascii="宋体" w:hAnsi="宋体"/>
                <w:sz w:val="24"/>
                <w:szCs w:val="24"/>
              </w:rPr>
              <w:t>、将隐患排查治理工作常态化；</w:t>
            </w:r>
          </w:p>
          <w:p w14:paraId="5EAA6944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7</w:t>
            </w:r>
            <w:r>
              <w:rPr>
                <w:rFonts w:hint="eastAsia" w:ascii="宋体" w:hAnsi="宋体"/>
                <w:sz w:val="24"/>
                <w:szCs w:val="24"/>
              </w:rPr>
              <w:t>、进一步拓展操作规程的制定和实施；</w:t>
            </w:r>
          </w:p>
          <w:p w14:paraId="77B4D1F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  <w:r>
              <w:rPr>
                <w:rFonts w:hint="eastAsia" w:ascii="宋体" w:hAnsi="宋体"/>
                <w:sz w:val="24"/>
                <w:szCs w:val="24"/>
              </w:rPr>
              <w:t>、结合要求与实际，加强应急处置应有能力提升。</w:t>
            </w:r>
          </w:p>
        </w:tc>
        <w:tc>
          <w:tcPr>
            <w:tcW w:w="3036" w:type="dxa"/>
            <w:shd w:val="clear" w:color="auto" w:fill="D3DFEE"/>
          </w:tcPr>
          <w:p w14:paraId="1A7AEA1F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、公司内部</w:t>
            </w:r>
            <w:r>
              <w:rPr>
                <w:rFonts w:ascii="宋体" w:hAnsi="宋体"/>
                <w:sz w:val="24"/>
                <w:szCs w:val="24"/>
              </w:rPr>
              <w:t>EHS</w:t>
            </w:r>
            <w:r>
              <w:rPr>
                <w:rFonts w:hint="eastAsia" w:ascii="宋体" w:hAnsi="宋体"/>
                <w:sz w:val="24"/>
                <w:szCs w:val="24"/>
              </w:rPr>
              <w:t>检查；</w:t>
            </w:r>
          </w:p>
          <w:p w14:paraId="0CA68423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sz w:val="24"/>
                <w:szCs w:val="24"/>
              </w:rPr>
              <w:t>、客户审计；</w:t>
            </w:r>
          </w:p>
          <w:p w14:paraId="4ECEC4B6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sz w:val="24"/>
                <w:szCs w:val="24"/>
              </w:rPr>
              <w:t>、管理体系及安全生产标准化跟踪审核；</w:t>
            </w:r>
          </w:p>
          <w:p w14:paraId="7A74D223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  <w:r>
              <w:rPr>
                <w:rFonts w:hint="eastAsia" w:ascii="宋体" w:hAnsi="宋体"/>
                <w:sz w:val="24"/>
                <w:szCs w:val="24"/>
              </w:rPr>
              <w:t>、政府主管部门组织的安全检查；</w:t>
            </w:r>
          </w:p>
          <w:p w14:paraId="7670039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</w:t>
            </w:r>
            <w:r>
              <w:rPr>
                <w:rFonts w:hint="eastAsia" w:ascii="宋体" w:hAnsi="宋体"/>
                <w:sz w:val="24"/>
                <w:szCs w:val="24"/>
              </w:rPr>
              <w:t>、每年组织两次应急预案演练；</w:t>
            </w:r>
          </w:p>
          <w:p w14:paraId="038B52C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6</w:t>
            </w:r>
            <w:r>
              <w:rPr>
                <w:rFonts w:hint="eastAsia" w:ascii="宋体" w:hAnsi="宋体"/>
                <w:sz w:val="24"/>
                <w:szCs w:val="24"/>
              </w:rPr>
              <w:t>、第三方定期检测与评价；</w:t>
            </w:r>
          </w:p>
        </w:tc>
        <w:tc>
          <w:tcPr>
            <w:tcW w:w="1783" w:type="dxa"/>
            <w:shd w:val="clear" w:color="auto" w:fill="D3DFEE"/>
          </w:tcPr>
          <w:p w14:paraId="0CF4A573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安全事故</w:t>
            </w:r>
          </w:p>
          <w:p w14:paraId="4C7D2B3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hint="eastAsia" w:ascii="宋体" w:hAnsi="宋体"/>
                <w:sz w:val="24"/>
                <w:szCs w:val="24"/>
              </w:rPr>
              <w:t>起</w:t>
            </w:r>
          </w:p>
        </w:tc>
      </w:tr>
      <w:tr w14:paraId="60ECB58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716" w:type="dxa"/>
            <w:shd w:val="clear" w:color="auto" w:fill="D3DFEE"/>
          </w:tcPr>
          <w:p w14:paraId="76177310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环境保护</w:t>
            </w:r>
          </w:p>
        </w:tc>
        <w:tc>
          <w:tcPr>
            <w:tcW w:w="1107" w:type="dxa"/>
            <w:shd w:val="clear" w:color="auto" w:fill="D3DFEE"/>
          </w:tcPr>
          <w:p w14:paraId="71088D4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废水、废气、厂界噪声、固体废弃物等</w:t>
            </w:r>
          </w:p>
        </w:tc>
        <w:tc>
          <w:tcPr>
            <w:tcW w:w="2538" w:type="dxa"/>
            <w:shd w:val="clear" w:color="auto" w:fill="D3DFEE"/>
          </w:tcPr>
          <w:p w14:paraId="33A1B63F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、建立健全环保管理制度，进一步明确环保管理责任；</w:t>
            </w:r>
          </w:p>
          <w:p w14:paraId="394C3604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2、做好环境因素识别、评价和更新；</w:t>
            </w:r>
          </w:p>
          <w:p w14:paraId="6E02393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3、加强环保设备设施的运行、运维保养等日常管理，确保其保持正常有效状态；</w:t>
            </w:r>
          </w:p>
          <w:p w14:paraId="181A05B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4、进一步规范危废、固体废弃物的分类存放及处置；</w:t>
            </w:r>
          </w:p>
          <w:p w14:paraId="0AD25D6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5、做好环保应急预案的制定、实施、评价和演练</w:t>
            </w:r>
          </w:p>
        </w:tc>
        <w:tc>
          <w:tcPr>
            <w:tcW w:w="3036" w:type="dxa"/>
            <w:shd w:val="clear" w:color="auto" w:fill="D3DFEE"/>
          </w:tcPr>
          <w:p w14:paraId="16E53E4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、公司内部</w:t>
            </w:r>
            <w:r>
              <w:rPr>
                <w:rFonts w:ascii="宋体" w:hAnsi="宋体"/>
                <w:sz w:val="24"/>
                <w:szCs w:val="24"/>
              </w:rPr>
              <w:t>EHS</w:t>
            </w:r>
            <w:r>
              <w:rPr>
                <w:rFonts w:hint="eastAsia" w:ascii="宋体" w:hAnsi="宋体"/>
                <w:sz w:val="24"/>
                <w:szCs w:val="24"/>
              </w:rPr>
              <w:t>检查；</w:t>
            </w:r>
          </w:p>
          <w:p w14:paraId="19B4ABB9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sz w:val="24"/>
                <w:szCs w:val="24"/>
              </w:rPr>
              <w:t>、客户审计；</w:t>
            </w:r>
          </w:p>
          <w:p w14:paraId="5E117B5C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sz w:val="24"/>
                <w:szCs w:val="24"/>
              </w:rPr>
              <w:t>、体系跟踪审核；</w:t>
            </w:r>
          </w:p>
          <w:p w14:paraId="3B640C96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  <w:r>
              <w:rPr>
                <w:rFonts w:hint="eastAsia" w:ascii="宋体" w:hAnsi="宋体"/>
                <w:sz w:val="24"/>
                <w:szCs w:val="24"/>
              </w:rPr>
              <w:t>、委托有资质的单位对废气、厂界噪声进行定期检测；</w:t>
            </w:r>
          </w:p>
          <w:p w14:paraId="717EAF34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</w:t>
            </w:r>
            <w:r>
              <w:rPr>
                <w:rFonts w:hint="eastAsia" w:ascii="宋体" w:hAnsi="宋体"/>
                <w:sz w:val="24"/>
                <w:szCs w:val="24"/>
              </w:rPr>
              <w:t>、危险废弃物委托有资质单位进行处理；</w:t>
            </w:r>
          </w:p>
          <w:p w14:paraId="64F2B2F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6</w:t>
            </w:r>
            <w:r>
              <w:rPr>
                <w:rFonts w:hint="eastAsia" w:ascii="宋体" w:hAnsi="宋体"/>
                <w:sz w:val="24"/>
                <w:szCs w:val="24"/>
              </w:rPr>
              <w:t>、公司每年组织两次环境应急预案演练；</w:t>
            </w:r>
          </w:p>
          <w:p w14:paraId="58B007B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7</w:t>
            </w:r>
            <w:r>
              <w:rPr>
                <w:rFonts w:hint="eastAsia" w:ascii="宋体" w:hAnsi="宋体"/>
                <w:sz w:val="24"/>
                <w:szCs w:val="24"/>
              </w:rPr>
              <w:t>、不断完善和更新环保法律法规；</w:t>
            </w:r>
          </w:p>
          <w:p w14:paraId="07AAEE3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  <w:r>
              <w:rPr>
                <w:rFonts w:hint="eastAsia" w:ascii="宋体" w:hAnsi="宋体"/>
                <w:sz w:val="24"/>
                <w:szCs w:val="24"/>
              </w:rPr>
              <w:t>、政府主管部门组织的环保检查。</w:t>
            </w:r>
          </w:p>
        </w:tc>
        <w:tc>
          <w:tcPr>
            <w:tcW w:w="1783" w:type="dxa"/>
            <w:shd w:val="clear" w:color="auto" w:fill="D3DFEE"/>
          </w:tcPr>
          <w:p w14:paraId="34B8173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三废达标排放率</w:t>
            </w:r>
            <w:r>
              <w:rPr>
                <w:rFonts w:ascii="宋体" w:hAnsi="宋体"/>
                <w:sz w:val="24"/>
                <w:szCs w:val="24"/>
              </w:rPr>
              <w:t>100%</w:t>
            </w:r>
            <w:r>
              <w:rPr>
                <w:rFonts w:hint="eastAsia" w:ascii="宋体" w:hAnsi="宋体"/>
                <w:sz w:val="24"/>
                <w:szCs w:val="24"/>
              </w:rPr>
              <w:t>。</w:t>
            </w:r>
          </w:p>
        </w:tc>
      </w:tr>
      <w:tr w14:paraId="0AA3A9D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716" w:type="dxa"/>
            <w:shd w:val="clear" w:color="auto" w:fill="D3DFEE"/>
          </w:tcPr>
          <w:p w14:paraId="293942FE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职业健康</w:t>
            </w:r>
          </w:p>
        </w:tc>
        <w:tc>
          <w:tcPr>
            <w:tcW w:w="1107" w:type="dxa"/>
            <w:shd w:val="clear" w:color="auto" w:fill="D3DFEE"/>
          </w:tcPr>
          <w:p w14:paraId="2ABF941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有毒有害因素、噪声、粉尘等</w:t>
            </w:r>
          </w:p>
        </w:tc>
        <w:tc>
          <w:tcPr>
            <w:tcW w:w="2538" w:type="dxa"/>
            <w:shd w:val="clear" w:color="auto" w:fill="D3DFEE"/>
          </w:tcPr>
          <w:p w14:paraId="1125EA30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、职业危害因素的识别、检测、评价和更新；</w:t>
            </w:r>
          </w:p>
          <w:p w14:paraId="41333C77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sz w:val="24"/>
                <w:szCs w:val="24"/>
              </w:rPr>
              <w:t>、职业健康体检；</w:t>
            </w:r>
          </w:p>
          <w:p w14:paraId="5788CFC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sz w:val="24"/>
                <w:szCs w:val="24"/>
              </w:rPr>
              <w:t>、职业病控制设施的安装与维护；</w:t>
            </w:r>
          </w:p>
          <w:p w14:paraId="4D2BD86F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  <w:r>
              <w:rPr>
                <w:rFonts w:hint="eastAsia" w:ascii="宋体" w:hAnsi="宋体"/>
                <w:sz w:val="24"/>
                <w:szCs w:val="24"/>
              </w:rPr>
              <w:t>、发放劳动防护用品；</w:t>
            </w:r>
          </w:p>
          <w:p w14:paraId="41767E0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</w:t>
            </w:r>
            <w:r>
              <w:rPr>
                <w:rFonts w:hint="eastAsia" w:ascii="宋体" w:hAnsi="宋体"/>
                <w:sz w:val="24"/>
                <w:szCs w:val="24"/>
              </w:rPr>
              <w:t>、职业卫生教育培训与宣传；</w:t>
            </w:r>
          </w:p>
          <w:p w14:paraId="4459867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6</w:t>
            </w:r>
            <w:r>
              <w:rPr>
                <w:rFonts w:hint="eastAsia" w:ascii="宋体" w:hAnsi="宋体"/>
                <w:sz w:val="24"/>
                <w:szCs w:val="24"/>
              </w:rPr>
              <w:t>、职业病危害告知与警示。</w:t>
            </w:r>
          </w:p>
        </w:tc>
        <w:tc>
          <w:tcPr>
            <w:tcW w:w="3036" w:type="dxa"/>
            <w:shd w:val="clear" w:color="auto" w:fill="D3DFEE"/>
          </w:tcPr>
          <w:p w14:paraId="1545DE87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、检查员工劳动防护用品佩戴情况；</w:t>
            </w:r>
          </w:p>
          <w:p w14:paraId="7823FC6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sz w:val="24"/>
                <w:szCs w:val="24"/>
              </w:rPr>
              <w:t>、每年组织员工进行一次职业病体检；</w:t>
            </w:r>
          </w:p>
          <w:p w14:paraId="31FBE35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sz w:val="24"/>
                <w:szCs w:val="24"/>
              </w:rPr>
              <w:t>、每年委托有资质单位进行职业病危害因素现场检测；</w:t>
            </w:r>
          </w:p>
          <w:p w14:paraId="540082CF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  <w:r>
              <w:rPr>
                <w:rFonts w:hint="eastAsia" w:ascii="宋体" w:hAnsi="宋体"/>
                <w:sz w:val="24"/>
                <w:szCs w:val="24"/>
              </w:rPr>
              <w:t>、职业健康法律法规合规性评价</w:t>
            </w:r>
          </w:p>
        </w:tc>
        <w:tc>
          <w:tcPr>
            <w:tcW w:w="1783" w:type="dxa"/>
            <w:shd w:val="clear" w:color="auto" w:fill="D3DFEE"/>
          </w:tcPr>
          <w:p w14:paraId="396B726F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职业病事故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hint="eastAsia" w:ascii="宋体" w:hAnsi="宋体"/>
                <w:sz w:val="24"/>
                <w:szCs w:val="24"/>
              </w:rPr>
              <w:t>起</w:t>
            </w:r>
          </w:p>
        </w:tc>
      </w:tr>
      <w:tr w14:paraId="30209FE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16" w:type="dxa"/>
            <w:shd w:val="clear" w:color="auto" w:fill="D3DFEE"/>
          </w:tcPr>
          <w:p w14:paraId="4E05F3DF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能源消耗及资源综合利用</w:t>
            </w:r>
          </w:p>
        </w:tc>
        <w:tc>
          <w:tcPr>
            <w:tcW w:w="1107" w:type="dxa"/>
            <w:shd w:val="clear" w:color="auto" w:fill="D3DFEE"/>
          </w:tcPr>
          <w:p w14:paraId="51363260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水、电、天然气等</w:t>
            </w:r>
          </w:p>
        </w:tc>
        <w:tc>
          <w:tcPr>
            <w:tcW w:w="2538" w:type="dxa"/>
            <w:shd w:val="clear" w:color="auto" w:fill="D3DFEE"/>
          </w:tcPr>
          <w:p w14:paraId="415A53CA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、制定年度节能控制指标，并加以细化；</w:t>
            </w:r>
          </w:p>
          <w:p w14:paraId="67C839E7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2、制定并完善能源管理制度，并加以实施；</w:t>
            </w:r>
          </w:p>
          <w:p w14:paraId="390EC97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3、加强重要用能设备及环节的监测和能源计量器具的管理；</w:t>
            </w:r>
          </w:p>
          <w:p w14:paraId="033F3196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4、做好能源数据的统计与分析；</w:t>
            </w:r>
          </w:p>
          <w:p w14:paraId="3AF3944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  <w:r>
              <w:rPr>
                <w:rFonts w:hint="eastAsia" w:ascii="宋体" w:hAnsi="宋体"/>
                <w:sz w:val="24"/>
                <w:szCs w:val="24"/>
              </w:rPr>
              <w:t>、做好节能项目实施、评价。</w:t>
            </w:r>
          </w:p>
        </w:tc>
        <w:tc>
          <w:tcPr>
            <w:tcW w:w="3036" w:type="dxa"/>
            <w:shd w:val="clear" w:color="auto" w:fill="D3DFEE"/>
          </w:tcPr>
          <w:p w14:paraId="358606D9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、委托有资质的单位开展能源审计及清洁生产审核；</w:t>
            </w:r>
          </w:p>
          <w:p w14:paraId="026675C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sz w:val="24"/>
                <w:szCs w:val="24"/>
              </w:rPr>
              <w:t>、每月能源数据统计、分析及能耗数据公布；</w:t>
            </w:r>
          </w:p>
          <w:p w14:paraId="3D7C598C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sz w:val="24"/>
                <w:szCs w:val="24"/>
              </w:rPr>
              <w:t>、政府主管部门组织的检查与主要耗能设备监测；</w:t>
            </w:r>
          </w:p>
          <w:p w14:paraId="1E5F4B59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  <w:r>
              <w:rPr>
                <w:rFonts w:hint="eastAsia" w:ascii="宋体" w:hAnsi="宋体"/>
                <w:sz w:val="24"/>
                <w:szCs w:val="24"/>
              </w:rPr>
              <w:t>、对节能项目的实施结果进行检查。</w:t>
            </w:r>
          </w:p>
        </w:tc>
        <w:tc>
          <w:tcPr>
            <w:tcW w:w="1783" w:type="dxa"/>
            <w:shd w:val="clear" w:color="auto" w:fill="D3DFEE"/>
          </w:tcPr>
          <w:p w14:paraId="29FF89D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产品单位综合能耗做到稳中有降</w:t>
            </w:r>
          </w:p>
        </w:tc>
      </w:tr>
    </w:tbl>
    <w:p w14:paraId="28C4AD5A"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</w:p>
    <w:p w14:paraId="71E69684"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  <w:r>
        <w:rPr>
          <w:rFonts w:hint="eastAsia" w:ascii="宋体" w:hAnsi="宋体" w:cs="新宋体"/>
          <w:b/>
          <w:color w:val="000000"/>
          <w:sz w:val="24"/>
          <w:szCs w:val="24"/>
        </w:rPr>
        <w:t>八、展望202</w:t>
      </w:r>
      <w:r>
        <w:rPr>
          <w:rFonts w:hint="eastAsia" w:ascii="宋体" w:hAnsi="宋体" w:cs="新宋体"/>
          <w:b/>
          <w:color w:val="000000"/>
          <w:sz w:val="24"/>
          <w:szCs w:val="24"/>
          <w:lang w:val="en-US" w:eastAsia="zh-CN"/>
        </w:rPr>
        <w:t>4</w:t>
      </w:r>
      <w:r>
        <w:rPr>
          <w:rFonts w:hint="eastAsia" w:ascii="宋体" w:hAnsi="宋体" w:cs="新宋体"/>
          <w:b/>
          <w:color w:val="000000"/>
          <w:sz w:val="24"/>
          <w:szCs w:val="24"/>
        </w:rPr>
        <w:t>年</w:t>
      </w:r>
    </w:p>
    <w:p w14:paraId="39CB8C55">
      <w:pPr>
        <w:spacing w:line="360" w:lineRule="auto"/>
        <w:ind w:firstLine="480" w:firstLineChars="200"/>
        <w:jc w:val="left"/>
        <w:rPr>
          <w:rFonts w:hint="eastAsia" w:ascii="宋体" w:hAnsi="宋体" w:cs="新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牢固树立科技及管理的创新理念，以创新推动企业不断发展。</w:t>
      </w:r>
    </w:p>
    <w:p w14:paraId="456749CA">
      <w:pPr>
        <w:spacing w:line="360" w:lineRule="auto"/>
        <w:ind w:firstLine="480" w:firstLineChars="2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公司从构建自主知识产权体系和强化企业自身技术创新能力出发，采取自主创新、集成创新、引进消化吸收再创新、产学研合作攻关等方式，着力研发具有行业领先的现代化先进技术和国家科技攻关计划项目，提升科技计划项目的开发层面，使公司的资源优势、产业基础优势转变为现实技术经济优势，使技术创新工作为公司持续健康发展提供强大的技术支撑。</w:t>
      </w:r>
    </w:p>
    <w:p w14:paraId="11F91F6F">
      <w:pPr>
        <w:spacing w:line="360" w:lineRule="auto"/>
        <w:ind w:firstLine="480" w:firstLineChars="200"/>
        <w:jc w:val="left"/>
        <w:rPr>
          <w:rFonts w:hint="eastAsia" w:ascii="宋体" w:hAnsi="宋体" w:cs="新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以三年安全环保专项整治为契机，拟订具体的工作目标及实施方案，不断强化各部门科室的安全环保属地和职能管理意识，从严从实从细开展隐患排查整治，为企业健康发展、地区社会和谐安定营造出更好氛围。</w:t>
      </w:r>
    </w:p>
    <w:p w14:paraId="24610FAD">
      <w:pPr>
        <w:spacing w:line="360" w:lineRule="auto"/>
        <w:ind w:firstLine="480" w:firstLineChars="2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关爱员工全面健康发展。坚持关爱员工、依靠员工、凝聚员工，公司通过进一步完善员工薪酬体系，不断改善工作环境，来全面提升员工生活水平；不断开展员工教育培训和技能提升活动，提高员工学习积极性和业务素质；充分利用工会、班组等组织，广泛征求和听取员工意见，不断拓宽企业民主管理，保障员工合法权益；加强帮扶解困工作，为弱势群体提供切实帮助。</w:t>
      </w:r>
    </w:p>
    <w:p w14:paraId="6749B45E">
      <w:pPr>
        <w:spacing w:line="360" w:lineRule="auto"/>
        <w:ind w:firstLine="480" w:firstLineChars="2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节能降耗加强环境治理。不断吸取和接受新的节能技术和管理理念，主动使用先进、节能、高效的技术设备和工艺，完善节能组织管理，加强各种能源的合理应用，在原有能源应用水平基础上再求突破，同时，将能源应用和污染排放有机结合起来管理。</w:t>
      </w:r>
    </w:p>
    <w:p w14:paraId="4BD65FFA">
      <w:pPr>
        <w:spacing w:line="360" w:lineRule="auto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全员参与，逐级负责，确保二级安全生产标准化及环境管理持续有效开展，安全生产许可证换证及二级安全生产标准化复审顺利通过，全年安全环保零处罚；避免一般性及以上的安全事故发生，轻微事故发生率较之上年度有下降。</w:t>
      </w:r>
    </w:p>
    <w:p w14:paraId="1578AE31">
      <w:pPr>
        <w:spacing w:line="360" w:lineRule="auto"/>
        <w:ind w:firstLine="480" w:firstLineChars="2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关爱员工身体健康，将职业健康真正到工作餐饮、健康宣讲、工作时间、所处环境、人文关怀等每一件小事上，每年度组织员工进行常规和职业病体检。</w:t>
      </w:r>
    </w:p>
    <w:p w14:paraId="5513063C">
      <w:pPr>
        <w:spacing w:line="360" w:lineRule="auto"/>
        <w:ind w:firstLine="480" w:firstLineChars="2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新宋体"/>
          <w:color w:val="000000"/>
          <w:sz w:val="24"/>
          <w:szCs w:val="24"/>
        </w:rPr>
        <w:t>积极参加</w:t>
      </w:r>
      <w:r>
        <w:rPr>
          <w:rFonts w:hint="eastAsia" w:ascii="宋体" w:hAnsi="宋体" w:cs="新宋体"/>
          <w:color w:val="000000"/>
          <w:sz w:val="24"/>
          <w:szCs w:val="24"/>
          <w:lang w:val="en-US" w:eastAsia="zh-CN"/>
        </w:rPr>
        <w:t>志愿</w:t>
      </w:r>
      <w:r>
        <w:rPr>
          <w:rFonts w:hint="eastAsia" w:ascii="宋体" w:hAnsi="宋体" w:cs="新宋体"/>
          <w:color w:val="000000"/>
          <w:sz w:val="24"/>
          <w:szCs w:val="24"/>
        </w:rPr>
        <w:t>服务、环境保护、公共福利、社会援助、紧急援助等公益活动，以实际行动回馈社会实现地企共赢。持续推进企业发展，为社会创造更多就业机会；加大对社会公益事业的支持力度，鼓励爱心帮互行为；着重关注当地社会、文化、教育、卫生、安全的发展，关心当地弱势群体，切实促进社会和谐。</w:t>
      </w:r>
    </w:p>
    <w:p w14:paraId="74C43451">
      <w:p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</w:p>
    <w:p w14:paraId="63873DCB">
      <w:pPr>
        <w:spacing w:line="360" w:lineRule="auto"/>
        <w:ind w:firstLine="120" w:firstLineChars="50"/>
        <w:jc w:val="left"/>
        <w:rPr>
          <w:rFonts w:ascii="宋体" w:hAnsi="宋体"/>
          <w:color w:val="000000"/>
          <w:sz w:val="24"/>
          <w:szCs w:val="24"/>
        </w:rPr>
      </w:pPr>
    </w:p>
    <w:p w14:paraId="755DAA04">
      <w:pPr>
        <w:spacing w:line="400" w:lineRule="auto"/>
        <w:ind w:firstLine="5280" w:firstLineChars="2200"/>
        <w:jc w:val="left"/>
        <w:rPr>
          <w:rFonts w:ascii="新宋体" w:hAnsi="新宋体" w:eastAsia="新宋体" w:cs="新宋体"/>
          <w:color w:val="000000"/>
          <w:sz w:val="24"/>
          <w:szCs w:val="24"/>
        </w:rPr>
      </w:pPr>
    </w:p>
    <w:p w14:paraId="75626631">
      <w:pPr>
        <w:spacing w:line="400" w:lineRule="auto"/>
        <w:ind w:firstLine="5280" w:firstLineChars="2200"/>
        <w:jc w:val="left"/>
        <w:rPr>
          <w:rFonts w:ascii="新宋体" w:hAnsi="新宋体" w:eastAsia="新宋体" w:cs="新宋体"/>
          <w:color w:val="000000"/>
          <w:sz w:val="24"/>
          <w:szCs w:val="24"/>
        </w:rPr>
      </w:pPr>
    </w:p>
    <w:p w14:paraId="3D232432">
      <w:pPr>
        <w:spacing w:line="400" w:lineRule="auto"/>
        <w:ind w:firstLine="5280" w:firstLineChars="2200"/>
        <w:jc w:val="left"/>
        <w:rPr>
          <w:rFonts w:ascii="新宋体" w:hAnsi="新宋体" w:eastAsia="新宋体" w:cs="新宋体"/>
          <w:color w:val="000000"/>
          <w:sz w:val="24"/>
          <w:szCs w:val="24"/>
        </w:rPr>
      </w:pPr>
    </w:p>
    <w:p w14:paraId="228DBE7C">
      <w:pPr>
        <w:spacing w:line="400" w:lineRule="auto"/>
        <w:ind w:firstLine="5280" w:firstLineChars="2200"/>
        <w:jc w:val="righ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新宋体" w:hAnsi="新宋体" w:eastAsia="新宋体" w:cs="新宋体"/>
          <w:color w:val="000000"/>
          <w:sz w:val="24"/>
          <w:szCs w:val="24"/>
        </w:rPr>
        <w:t>南通市康桥油脂有限公司</w:t>
      </w:r>
    </w:p>
    <w:p w14:paraId="1ADEBCA3">
      <w:pPr>
        <w:spacing w:line="400" w:lineRule="auto"/>
        <w:ind w:firstLine="6600" w:firstLineChars="2750"/>
        <w:jc w:val="righ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新宋体" w:hAnsi="新宋体" w:eastAsia="新宋体" w:cs="新宋体"/>
          <w:color w:val="000000"/>
          <w:sz w:val="24"/>
          <w:szCs w:val="24"/>
        </w:rPr>
        <w:t>202</w:t>
      </w:r>
      <w:r>
        <w:rPr>
          <w:rFonts w:hint="eastAsia" w:ascii="新宋体" w:hAnsi="新宋体" w:eastAsia="新宋体" w:cs="新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新宋体" w:hAnsi="新宋体" w:eastAsia="新宋体" w:cs="新宋体"/>
          <w:color w:val="000000"/>
          <w:sz w:val="24"/>
          <w:szCs w:val="24"/>
        </w:rPr>
        <w:t>年</w:t>
      </w:r>
      <w:r>
        <w:rPr>
          <w:rFonts w:hint="eastAsia" w:ascii="新宋体" w:hAnsi="新宋体" w:eastAsia="新宋体" w:cs="新宋体"/>
          <w:color w:val="000000"/>
          <w:sz w:val="24"/>
          <w:szCs w:val="24"/>
          <w:lang w:val="en-US" w:eastAsia="zh-CN"/>
        </w:rPr>
        <w:t>12</w:t>
      </w:r>
      <w:r>
        <w:rPr>
          <w:rFonts w:hint="eastAsia" w:ascii="新宋体" w:hAnsi="新宋体" w:eastAsia="新宋体" w:cs="新宋体"/>
          <w:color w:val="000000"/>
          <w:sz w:val="24"/>
          <w:szCs w:val="24"/>
        </w:rPr>
        <w:t>月</w:t>
      </w:r>
    </w:p>
    <w:p w14:paraId="4CB8F5C2">
      <w:p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</w:p>
    <w:p w14:paraId="0F186061">
      <w:p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</w:p>
    <w:sectPr>
      <w:pgSz w:w="11906" w:h="16838"/>
      <w:pgMar w:top="1819" w:right="1418" w:bottom="1304" w:left="1418" w:header="993" w:footer="774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OTJhOTYzNjNmYjE4YTdjNzI2ZjIxMzBiODIwMTQifQ=="/>
  </w:docVars>
  <w:rsids>
    <w:rsidRoot w:val="00D17926"/>
    <w:rsid w:val="00002719"/>
    <w:rsid w:val="00016FBB"/>
    <w:rsid w:val="000651D8"/>
    <w:rsid w:val="0006688F"/>
    <w:rsid w:val="000A63D4"/>
    <w:rsid w:val="000D7F74"/>
    <w:rsid w:val="000F17F1"/>
    <w:rsid w:val="00105E70"/>
    <w:rsid w:val="001244E9"/>
    <w:rsid w:val="001302FC"/>
    <w:rsid w:val="00130FB7"/>
    <w:rsid w:val="00144B11"/>
    <w:rsid w:val="0014760B"/>
    <w:rsid w:val="00147BA4"/>
    <w:rsid w:val="00162255"/>
    <w:rsid w:val="001B06BC"/>
    <w:rsid w:val="001C061E"/>
    <w:rsid w:val="001D724B"/>
    <w:rsid w:val="001E6809"/>
    <w:rsid w:val="002002A6"/>
    <w:rsid w:val="00204966"/>
    <w:rsid w:val="002400E9"/>
    <w:rsid w:val="002608BC"/>
    <w:rsid w:val="002854E4"/>
    <w:rsid w:val="002B4AF0"/>
    <w:rsid w:val="002C7E4B"/>
    <w:rsid w:val="002E1503"/>
    <w:rsid w:val="002F0EDF"/>
    <w:rsid w:val="002F79F0"/>
    <w:rsid w:val="003619CB"/>
    <w:rsid w:val="003751C7"/>
    <w:rsid w:val="003772BF"/>
    <w:rsid w:val="0039479D"/>
    <w:rsid w:val="003A0FD3"/>
    <w:rsid w:val="003A3F54"/>
    <w:rsid w:val="00457BF6"/>
    <w:rsid w:val="00466560"/>
    <w:rsid w:val="00492406"/>
    <w:rsid w:val="004D1FA8"/>
    <w:rsid w:val="004D6737"/>
    <w:rsid w:val="004E2C59"/>
    <w:rsid w:val="004F274D"/>
    <w:rsid w:val="004F47AB"/>
    <w:rsid w:val="004F718C"/>
    <w:rsid w:val="00540152"/>
    <w:rsid w:val="00541451"/>
    <w:rsid w:val="00584CC0"/>
    <w:rsid w:val="00593FDF"/>
    <w:rsid w:val="005D75A6"/>
    <w:rsid w:val="005E5940"/>
    <w:rsid w:val="0061051E"/>
    <w:rsid w:val="00651A69"/>
    <w:rsid w:val="006F73A1"/>
    <w:rsid w:val="007124B7"/>
    <w:rsid w:val="007343E2"/>
    <w:rsid w:val="0078343A"/>
    <w:rsid w:val="007C6975"/>
    <w:rsid w:val="00876CB8"/>
    <w:rsid w:val="00877B4C"/>
    <w:rsid w:val="00881A57"/>
    <w:rsid w:val="00892619"/>
    <w:rsid w:val="00893FCB"/>
    <w:rsid w:val="008A0FC7"/>
    <w:rsid w:val="008B4E43"/>
    <w:rsid w:val="008E0161"/>
    <w:rsid w:val="008F755D"/>
    <w:rsid w:val="0091387B"/>
    <w:rsid w:val="00922632"/>
    <w:rsid w:val="0094506D"/>
    <w:rsid w:val="009D3F5D"/>
    <w:rsid w:val="009F5AD5"/>
    <w:rsid w:val="00A0737D"/>
    <w:rsid w:val="00A40C87"/>
    <w:rsid w:val="00A526AF"/>
    <w:rsid w:val="00A57C5C"/>
    <w:rsid w:val="00AC5BAC"/>
    <w:rsid w:val="00AD7E50"/>
    <w:rsid w:val="00B04EC1"/>
    <w:rsid w:val="00B175D2"/>
    <w:rsid w:val="00B20523"/>
    <w:rsid w:val="00B72467"/>
    <w:rsid w:val="00BC4EFA"/>
    <w:rsid w:val="00BF44C3"/>
    <w:rsid w:val="00BF4BDD"/>
    <w:rsid w:val="00C1319E"/>
    <w:rsid w:val="00C35CA3"/>
    <w:rsid w:val="00C544FE"/>
    <w:rsid w:val="00C82857"/>
    <w:rsid w:val="00CA4C7B"/>
    <w:rsid w:val="00CB0697"/>
    <w:rsid w:val="00CB1109"/>
    <w:rsid w:val="00D17926"/>
    <w:rsid w:val="00D31245"/>
    <w:rsid w:val="00D55A90"/>
    <w:rsid w:val="00D76F66"/>
    <w:rsid w:val="00D82D4B"/>
    <w:rsid w:val="00DF45D8"/>
    <w:rsid w:val="00E07623"/>
    <w:rsid w:val="00E37750"/>
    <w:rsid w:val="00E52E54"/>
    <w:rsid w:val="00E54154"/>
    <w:rsid w:val="00E619A3"/>
    <w:rsid w:val="00E95D4D"/>
    <w:rsid w:val="00EC5A54"/>
    <w:rsid w:val="00ED56FC"/>
    <w:rsid w:val="00EF0BC4"/>
    <w:rsid w:val="00F35033"/>
    <w:rsid w:val="00F66281"/>
    <w:rsid w:val="00F725F2"/>
    <w:rsid w:val="00F82D89"/>
    <w:rsid w:val="00F93E4B"/>
    <w:rsid w:val="00F9563F"/>
    <w:rsid w:val="00F95EE7"/>
    <w:rsid w:val="00FD58C6"/>
    <w:rsid w:val="00FE695A"/>
    <w:rsid w:val="00FF0355"/>
    <w:rsid w:val="134B1CFB"/>
    <w:rsid w:val="1F1C1500"/>
    <w:rsid w:val="2A8905AE"/>
    <w:rsid w:val="47CB429D"/>
    <w:rsid w:val="482D2011"/>
    <w:rsid w:val="514A1815"/>
    <w:rsid w:val="5B626E43"/>
    <w:rsid w:val="6C2624C9"/>
    <w:rsid w:val="6EA378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9">
    <w:name w:val="pagetitle2"/>
    <w:qFormat/>
    <w:uiPriority w:val="0"/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1"/>
    </w:rPr>
  </w:style>
  <w:style w:type="table" w:customStyle="1" w:styleId="11">
    <w:name w:val="中等深浅网格 3 - 着色 11"/>
    <w:basedOn w:val="5"/>
    <w:qFormat/>
    <w:uiPriority w:val="69"/>
    <w:rPr>
      <w:rFonts w:ascii="Times New Roman" w:hAnsi="Times New Roman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character" w:customStyle="1" w:styleId="12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5801</Words>
  <Characters>5918</Characters>
  <Lines>99</Lines>
  <Paragraphs>28</Paragraphs>
  <TotalTime>102</TotalTime>
  <ScaleCrop>false</ScaleCrop>
  <LinksUpToDate>false</LinksUpToDate>
  <CharactersWithSpaces>5943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2021-06-30T02:06:00Z</dcterms:created>
  <dc:creator>2020年4月</dc:creator>
  <dc:description>2020/4/5</dc:description>
  <cp:keywords>2020/4/5</cp:keywords>
  <cp:lastModifiedBy>一个小朋友</cp:lastModifiedBy>
  <cp:lastPrinted>2015-06-24T05:53:00Z</cp:lastPrinted>
  <dcterms:modified xsi:type="dcterms:W3CDTF">2024-07-25T02:40:21Z</dcterms:modified>
  <dc:subject>2020/4/5</dc:subject>
  <dc:title>企业社会责任报告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513C32AA26F24D91A9B0EF0F32BCD40F</vt:lpwstr>
  </property>
</Properties>
</file>